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50A9" w:rsidRPr="00A550A9" w:rsidRDefault="00A550A9" w:rsidP="00A550A9">
      <w:pPr>
        <w:pStyle w:val="articletime"/>
        <w:shd w:val="clear" w:color="auto" w:fill="FFFFFF"/>
        <w:spacing w:before="0" w:beforeAutospacing="0" w:after="150" w:afterAutospacing="0"/>
        <w:rPr>
          <w:rFonts w:ascii="Arial" w:hAnsi="Arial" w:cs="Arial"/>
          <w:color w:val="163855"/>
          <w:sz w:val="21"/>
          <w:szCs w:val="21"/>
          <w:lang w:val="en-US"/>
        </w:rPr>
      </w:pPr>
      <w:r w:rsidRPr="00A550A9">
        <w:rPr>
          <w:rFonts w:ascii="Arial" w:hAnsi="Arial" w:cs="Arial"/>
          <w:color w:val="163855"/>
          <w:sz w:val="21"/>
          <w:szCs w:val="21"/>
          <w:lang w:val="en-US"/>
        </w:rPr>
        <w:t>November 03, 2010</w:t>
      </w:r>
    </w:p>
    <w:p w:rsidR="00A550A9" w:rsidRPr="00A550A9" w:rsidRDefault="00A550A9" w:rsidP="00A550A9">
      <w:pPr>
        <w:pStyle w:val="berschrift3"/>
        <w:shd w:val="clear" w:color="auto" w:fill="FFFFFF"/>
        <w:spacing w:before="150" w:beforeAutospacing="0" w:after="225" w:afterAutospacing="0"/>
        <w:rPr>
          <w:rFonts w:ascii="Georgia" w:hAnsi="Georgia" w:cs="Arial"/>
          <w:b w:val="0"/>
          <w:bCs w:val="0"/>
          <w:color w:val="163855"/>
          <w:lang w:val="en-US"/>
        </w:rPr>
      </w:pPr>
      <w:r w:rsidRPr="00A550A9">
        <w:rPr>
          <w:rFonts w:ascii="Georgia" w:hAnsi="Georgia" w:cs="Arial"/>
          <w:b w:val="0"/>
          <w:bCs w:val="0"/>
          <w:color w:val="163855"/>
          <w:lang w:val="en-US"/>
        </w:rPr>
        <w:t>FOMC statement</w:t>
      </w:r>
    </w:p>
    <w:p w:rsidR="00A550A9" w:rsidRPr="00A550A9" w:rsidRDefault="00A550A9" w:rsidP="00A550A9">
      <w:pPr>
        <w:pStyle w:val="releasetime"/>
        <w:shd w:val="clear" w:color="auto" w:fill="FFFFFF"/>
        <w:spacing w:before="0" w:beforeAutospacing="0" w:after="150" w:afterAutospacing="0"/>
        <w:rPr>
          <w:rFonts w:ascii="Arial" w:hAnsi="Arial" w:cs="Arial"/>
          <w:color w:val="163855"/>
          <w:sz w:val="21"/>
          <w:szCs w:val="21"/>
          <w:lang w:val="en-US"/>
        </w:rPr>
      </w:pPr>
      <w:r w:rsidRPr="00A550A9">
        <w:rPr>
          <w:rFonts w:ascii="Arial" w:hAnsi="Arial" w:cs="Arial"/>
          <w:color w:val="163855"/>
          <w:sz w:val="21"/>
          <w:szCs w:val="21"/>
          <w:lang w:val="en-US"/>
        </w:rPr>
        <w:t>For immediate release</w:t>
      </w:r>
      <w:r w:rsidRPr="00A550A9">
        <w:rPr>
          <w:rStyle w:val="apple-converted-space"/>
          <w:rFonts w:ascii="Arial" w:hAnsi="Arial" w:cs="Arial"/>
          <w:color w:val="163855"/>
          <w:sz w:val="21"/>
          <w:szCs w:val="21"/>
          <w:lang w:val="en-US"/>
        </w:rPr>
        <w:t> </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September confirms that the pace of recovery in output and employment continues to be slow. Household spending is increasing gradually, but remains constrained by high unemployment, modest income growth, lower housing wealth, and tight credit. Business spending on equipment and software is rising, though less rapidly than earlier in the year, while investment in nonresidential structures continues to be weak. Employers remain reluctant to add to payrolls. Housing starts continue to be depressed. Longer-term inflation expectations have remained stable, but measures of underlying inflation have trended lower in recent quarters.</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Currently, the unemployment rate is elevated, and measures of underlying inflation are somewhat low, relative to levels that the Committee judges to be consistent, over the longer run, with its dual mandate. Although the Committee anticipates a gradual return to higher levels of resource utilization in a context of price stability, progress toward its objectives has been disappointingly slow.</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promote a stronger pace of economic recovery and to help ensure that inflation, over time, is at levels consistent with its mandate, the Committee decided today to expand its holdings of securities. The Committee will maintain its existing policy of reinvesting principal payments from its securities holdings. In addition, the Committee intends to purchase a further $600 billion of longer-term Treasury securities by the end of the second quarter of 2011, a pace of about $75 billion per month. The Committee will regularly review the pace of its securities purchases and the overall size of the asset-purchase program in light of incoming information and will adjust the program as needed to best foster maximum employment and price stability.</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continue to monitor the economic outlook and financial developments and will employ its policy tools as necessary to support the economic recovery and to help ensure that inflation, over time, is at levels consistent with its mandate. </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James Bullard; Elizabeth A. Duke; Sandra Pianalto; Sarah Bloom Raskin; Eric S. Rosengren; Daniel K. Tarullo; Kevin M. Warsh; and Janet L. Yellen.</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against the policy was Thomas M. Hoenig. Mr. Hoenig believed the risks of additional securities purchases outweighed the benefits. Mr. Hoenig also was concerned that this continued high level of monetary accommodation increased the risks of future financial imbalances and, over time, would cause an increase in long-term inflation expectations that could destabilize the economy.</w:t>
      </w:r>
    </w:p>
    <w:p w:rsidR="00A550A9" w:rsidRDefault="00A550A9" w:rsidP="00A550A9">
      <w:pPr>
        <w:pStyle w:val="StandardWeb"/>
        <w:shd w:val="clear" w:color="auto" w:fill="FFFFFF"/>
        <w:spacing w:before="0" w:beforeAutospacing="0" w:after="150" w:afterAutospacing="0"/>
        <w:rPr>
          <w:rFonts w:ascii="Arial" w:hAnsi="Arial" w:cs="Arial"/>
          <w:color w:val="333333"/>
          <w:sz w:val="21"/>
          <w:szCs w:val="21"/>
        </w:rPr>
      </w:pPr>
      <w:hyperlink r:id="rId5" w:tgtFrame="_self" w:history="1">
        <w:r>
          <w:rPr>
            <w:rStyle w:val="Hyperlink"/>
            <w:rFonts w:ascii="Arial" w:hAnsi="Arial" w:cs="Arial"/>
            <w:color w:val="3A6C9C"/>
            <w:sz w:val="21"/>
            <w:szCs w:val="21"/>
          </w:rPr>
          <w:t>Statement from Federal Reserve Bank of New York</w:t>
        </w:r>
      </w:hyperlink>
    </w:p>
    <w:p w:rsidR="00A550A9" w:rsidRDefault="00A550A9" w:rsidP="00A550A9">
      <w:pPr>
        <w:shd w:val="clear" w:color="auto" w:fill="FFFFFF"/>
        <w:rPr>
          <w:rFonts w:ascii="Georgia" w:hAnsi="Georgia" w:cs="Arial"/>
          <w:color w:val="333333"/>
          <w:sz w:val="21"/>
          <w:szCs w:val="21"/>
        </w:rPr>
      </w:pPr>
      <w:r>
        <w:rPr>
          <w:rFonts w:ascii="Georgia" w:hAnsi="Georgia" w:cs="Arial"/>
          <w:color w:val="333333"/>
          <w:sz w:val="21"/>
          <w:szCs w:val="21"/>
        </w:rPr>
        <w:t>Last Update: November 03, 2010</w:t>
      </w:r>
    </w:p>
    <w:p w:rsidR="00F67AA3" w:rsidRPr="00A550A9" w:rsidRDefault="00F67AA3" w:rsidP="00A550A9"/>
    <w:sectPr w:rsidR="00F67AA3" w:rsidRPr="00A550A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692"/>
    <w:multiLevelType w:val="multilevel"/>
    <w:tmpl w:val="833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7C58"/>
    <w:multiLevelType w:val="multilevel"/>
    <w:tmpl w:val="13C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56A60"/>
    <w:multiLevelType w:val="multilevel"/>
    <w:tmpl w:val="815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F77BE"/>
    <w:multiLevelType w:val="multilevel"/>
    <w:tmpl w:val="317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A45F3"/>
    <w:multiLevelType w:val="multilevel"/>
    <w:tmpl w:val="A24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545BA"/>
    <w:multiLevelType w:val="multilevel"/>
    <w:tmpl w:val="62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12"/>
  </w:num>
  <w:num w:numId="4">
    <w:abstractNumId w:val="46"/>
  </w:num>
  <w:num w:numId="5">
    <w:abstractNumId w:val="25"/>
  </w:num>
  <w:num w:numId="6">
    <w:abstractNumId w:val="28"/>
  </w:num>
  <w:num w:numId="7">
    <w:abstractNumId w:val="31"/>
  </w:num>
  <w:num w:numId="8">
    <w:abstractNumId w:val="39"/>
  </w:num>
  <w:num w:numId="9">
    <w:abstractNumId w:val="33"/>
  </w:num>
  <w:num w:numId="10">
    <w:abstractNumId w:val="24"/>
  </w:num>
  <w:num w:numId="11">
    <w:abstractNumId w:val="9"/>
  </w:num>
  <w:num w:numId="12">
    <w:abstractNumId w:val="11"/>
  </w:num>
  <w:num w:numId="13">
    <w:abstractNumId w:val="41"/>
  </w:num>
  <w:num w:numId="14">
    <w:abstractNumId w:val="35"/>
  </w:num>
  <w:num w:numId="15">
    <w:abstractNumId w:val="34"/>
  </w:num>
  <w:num w:numId="16">
    <w:abstractNumId w:val="13"/>
  </w:num>
  <w:num w:numId="17">
    <w:abstractNumId w:val="40"/>
  </w:num>
  <w:num w:numId="18">
    <w:abstractNumId w:val="30"/>
  </w:num>
  <w:num w:numId="19">
    <w:abstractNumId w:val="42"/>
  </w:num>
  <w:num w:numId="20">
    <w:abstractNumId w:val="19"/>
  </w:num>
  <w:num w:numId="21">
    <w:abstractNumId w:val="36"/>
  </w:num>
  <w:num w:numId="22">
    <w:abstractNumId w:val="43"/>
  </w:num>
  <w:num w:numId="23">
    <w:abstractNumId w:val="27"/>
  </w:num>
  <w:num w:numId="24">
    <w:abstractNumId w:val="3"/>
  </w:num>
  <w:num w:numId="25">
    <w:abstractNumId w:val="16"/>
  </w:num>
  <w:num w:numId="26">
    <w:abstractNumId w:val="5"/>
  </w:num>
  <w:num w:numId="27">
    <w:abstractNumId w:val="4"/>
  </w:num>
  <w:num w:numId="28">
    <w:abstractNumId w:val="37"/>
  </w:num>
  <w:num w:numId="29">
    <w:abstractNumId w:val="14"/>
  </w:num>
  <w:num w:numId="30">
    <w:abstractNumId w:val="15"/>
  </w:num>
  <w:num w:numId="31">
    <w:abstractNumId w:val="32"/>
  </w:num>
  <w:num w:numId="32">
    <w:abstractNumId w:val="7"/>
  </w:num>
  <w:num w:numId="33">
    <w:abstractNumId w:val="38"/>
  </w:num>
  <w:num w:numId="34">
    <w:abstractNumId w:val="48"/>
  </w:num>
  <w:num w:numId="35">
    <w:abstractNumId w:val="0"/>
  </w:num>
  <w:num w:numId="36">
    <w:abstractNumId w:val="17"/>
  </w:num>
  <w:num w:numId="37">
    <w:abstractNumId w:val="1"/>
  </w:num>
  <w:num w:numId="38">
    <w:abstractNumId w:val="29"/>
  </w:num>
  <w:num w:numId="39">
    <w:abstractNumId w:val="21"/>
  </w:num>
  <w:num w:numId="40">
    <w:abstractNumId w:val="47"/>
  </w:num>
  <w:num w:numId="41">
    <w:abstractNumId w:val="44"/>
  </w:num>
  <w:num w:numId="42">
    <w:abstractNumId w:val="20"/>
  </w:num>
  <w:num w:numId="43">
    <w:abstractNumId w:val="26"/>
  </w:num>
  <w:num w:numId="44">
    <w:abstractNumId w:val="45"/>
  </w:num>
  <w:num w:numId="45">
    <w:abstractNumId w:val="6"/>
  </w:num>
  <w:num w:numId="46">
    <w:abstractNumId w:val="23"/>
  </w:num>
  <w:num w:numId="47">
    <w:abstractNumId w:val="2"/>
  </w:num>
  <w:num w:numId="48">
    <w:abstractNumId w:val="10"/>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9A195D"/>
    <w:rsid w:val="00A02E32"/>
    <w:rsid w:val="00A550A9"/>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yorkfed.org/markets/opolicy/operating_policy_10110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2969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2020-03-21T12:45:00Z</cp:lastPrinted>
  <dcterms:created xsi:type="dcterms:W3CDTF">2020-03-21T12:46:00Z</dcterms:created>
  <dcterms:modified xsi:type="dcterms:W3CDTF">2020-03-21T12:46:00Z</dcterms:modified>
</cp:coreProperties>
</file>