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3FF0" w:rsidRDefault="00DC3FF0" w:rsidP="00DC3FF0">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October 30, 2013</w:t>
      </w:r>
    </w:p>
    <w:p w:rsidR="00DC3FF0" w:rsidRDefault="00DC3FF0" w:rsidP="00DC3FF0">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DC3FF0" w:rsidRDefault="00DC3FF0" w:rsidP="00DC3FF0">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DC3FF0" w:rsidRDefault="00DC3FF0" w:rsidP="00DC3FF0">
      <w:pPr>
        <w:pStyle w:val="share"/>
        <w:numPr>
          <w:ilvl w:val="0"/>
          <w:numId w:val="24"/>
        </w:numPr>
        <w:shd w:val="clear" w:color="auto" w:fill="FFFFFF"/>
        <w:textAlignment w:val="center"/>
        <w:rPr>
          <w:rFonts w:ascii="Arial" w:hAnsi="Arial" w:cs="Arial"/>
          <w:color w:val="333333"/>
          <w:sz w:val="21"/>
          <w:szCs w:val="21"/>
        </w:rPr>
      </w:pPr>
      <w:hyperlink r:id="rId5" w:tooltip="Share" w:history="1">
        <w:r>
          <w:rPr>
            <w:rStyle w:val="Hyperlink"/>
            <w:rFonts w:ascii="Arial" w:hAnsi="Arial" w:cs="Arial"/>
            <w:b/>
            <w:bCs/>
            <w:color w:val="3A6C9C"/>
            <w:sz w:val="21"/>
            <w:szCs w:val="21"/>
          </w:rPr>
          <w:t>Share</w:t>
        </w:r>
      </w:hyperlink>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September generally suggests that economic activity has continued to expand at a moderate pace. Indicators of labor market conditions have shown some further improvement, but the unemployment rate remains elevated. Available data suggest that household spending and business fixed investment advanced, while the recovery in the housing sector slowed somewhat in recent months. Fiscal policy is restraining economic growth. Apart from fluctuations due to changes in energy prices, inflation has been running below the Committee's longer-run objective, but longer-term inflation expectations have remained stable.</w:t>
      </w:r>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growth will pick up from its recent pace and the unemployment rate will gradually decline toward levels the Committee judges consistent with its dual mandate. The Committee sees the downside risks to the outlook for the economy and the labor market as having diminished, on net, since last fall. The Committee recognizes that inflation persistently below its 2 percent objective could pose risks to economic performance, but it anticipates that inflation will move back toward its objective over the medium term.</w:t>
      </w:r>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Taking into account the extent of federal fiscal retrenchment over the past year, the Committee sees the improvement in economic activity and labor market conditions since it began its asset purchase program as consistent with growing underlying strength in the broader economy. However, the Committee decided to await more evidence that progress will be sustained before adjusting the pace of its purchases. Accordingly,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In judging when to moderate the pace of asset purchases, the Committee will, at its coming meetings, assess whether incoming information continues to support the Committee's expectation of ongoing improvement in labor market conditions and inflation moving back toward its longer-run objective. Asset purchases are not on a preset course, and the Committee's decisions about their pace will remain contingent on the Committee's economic outlook as well as its assessment of the likely efficacy and costs of such purchases.</w:t>
      </w:r>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w:t>
      </w:r>
      <w:r>
        <w:rPr>
          <w:rFonts w:ascii="Arial" w:hAnsi="Arial" w:cs="Arial"/>
          <w:color w:val="333333"/>
          <w:sz w:val="21"/>
          <w:szCs w:val="21"/>
        </w:rPr>
        <w:lastRenderedPageBreak/>
        <w:t>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DC3FF0" w:rsidRDefault="00DC3FF0" w:rsidP="00DC3FF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Charles L. Evans; Jerome H. Powell; Eric S. Rosengren; Jeremy C. Stein; Daniel K. Tarullo;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rsidR="00DC3FF0" w:rsidRDefault="00DC3FF0" w:rsidP="00DC3FF0">
      <w:pPr>
        <w:shd w:val="clear" w:color="auto" w:fill="FFFFFF"/>
        <w:rPr>
          <w:rFonts w:ascii="Georgia" w:hAnsi="Georgia" w:cs="Arial"/>
          <w:color w:val="333333"/>
          <w:sz w:val="21"/>
          <w:szCs w:val="21"/>
        </w:rPr>
      </w:pPr>
      <w:r>
        <w:rPr>
          <w:rFonts w:ascii="Georgia" w:hAnsi="Georgia" w:cs="Arial"/>
          <w:color w:val="333333"/>
          <w:sz w:val="21"/>
          <w:szCs w:val="21"/>
        </w:rPr>
        <w:t>Last Update: October 30, 2013</w:t>
      </w:r>
    </w:p>
    <w:p w:rsidR="00F67AA3" w:rsidRPr="00DC3FF0" w:rsidRDefault="00F67AA3" w:rsidP="00DC3FF0"/>
    <w:sectPr w:rsidR="00F67AA3" w:rsidRPr="00DC3FF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23"/>
  </w:num>
  <w:num w:numId="5">
    <w:abstractNumId w:val="9"/>
  </w:num>
  <w:num w:numId="6">
    <w:abstractNumId w:val="11"/>
  </w:num>
  <w:num w:numId="7">
    <w:abstractNumId w:val="13"/>
  </w:num>
  <w:num w:numId="8">
    <w:abstractNumId w:val="18"/>
  </w:num>
  <w:num w:numId="9">
    <w:abstractNumId w:val="14"/>
  </w:num>
  <w:num w:numId="10">
    <w:abstractNumId w:val="8"/>
  </w:num>
  <w:num w:numId="11">
    <w:abstractNumId w:val="1"/>
  </w:num>
  <w:num w:numId="12">
    <w:abstractNumId w:val="2"/>
  </w:num>
  <w:num w:numId="13">
    <w:abstractNumId w:val="20"/>
  </w:num>
  <w:num w:numId="14">
    <w:abstractNumId w:val="16"/>
  </w:num>
  <w:num w:numId="15">
    <w:abstractNumId w:val="15"/>
  </w:num>
  <w:num w:numId="16">
    <w:abstractNumId w:val="4"/>
  </w:num>
  <w:num w:numId="17">
    <w:abstractNumId w:val="19"/>
  </w:num>
  <w:num w:numId="18">
    <w:abstractNumId w:val="12"/>
  </w:num>
  <w:num w:numId="19">
    <w:abstractNumId w:val="21"/>
  </w:num>
  <w:num w:numId="20">
    <w:abstractNumId w:val="6"/>
  </w:num>
  <w:num w:numId="21">
    <w:abstractNumId w:val="17"/>
  </w:num>
  <w:num w:numId="22">
    <w:abstractNumId w:val="22"/>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83062"/>
    <w:rsid w:val="001B6E81"/>
    <w:rsid w:val="00226444"/>
    <w:rsid w:val="00285B08"/>
    <w:rsid w:val="00383A03"/>
    <w:rsid w:val="004314A3"/>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ederalreserve.gov/newsevents/pressreleases/monetary20131030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4728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2020-03-21T11:47:00Z</cp:lastPrinted>
  <dcterms:created xsi:type="dcterms:W3CDTF">2020-03-21T11:48:00Z</dcterms:created>
  <dcterms:modified xsi:type="dcterms:W3CDTF">2020-03-21T11:48:00Z</dcterms:modified>
</cp:coreProperties>
</file>