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25AB" w:rsidRDefault="00CB25AB" w:rsidP="00CB25AB">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July 30, 2014</w:t>
      </w:r>
    </w:p>
    <w:p w:rsidR="00CB25AB" w:rsidRDefault="00CB25AB" w:rsidP="00CB25AB">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CB25AB" w:rsidRPr="00CB25AB" w:rsidRDefault="00CB25AB" w:rsidP="00CB25AB">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June indicates that growth in economic activity rebounded in the second quarter. Labor market conditions improved, with the unemployment rate declining further. However, a range of labor market indicators suggests that there remains significant underutilization of labor resources. Household spending appears to be rising moderately and business fixed investment is advancing, while the recovery in the housing sector remains slow. Fiscal policy is restraining economic growth, although the extent of restraint is diminishing. Inflation has moved somewhat closer to the Committee's longer-run objective. Longer-term inflation expectations have remained stable.</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with labor market indicators and inflation moving toward levels the Committee judges consistent with its dual mandate. The Committee sees the risks to the outlook for economic activity and the labor market as nearly balanced and judges that the likelihood of inflation running persistently below 2 percent has diminished somewhat.</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currently judges that there is sufficient underlying strength in the broader economy to support ongoing improvement in labor market conditions. In light of the cumulative progress toward maximum employment and the improvement in the outlook for labor market conditions since the inception of the current asset purchase program, the Committee decided to make a further measured reduction in the pace of its asset purchases. Beginning in August, the Committee will add to its holdings of agency mortgage-backed securities at a pace of $10 billion per month rather than $15 billion per month, and will add to its holdings of longer-term Treasury securities at a pace of $15 billion per month rather than $20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To support continued progress toward maximum employment and price stability, the Committee today reaffirmed its view that a highly accommodative stance of monetary policy remains appropriate. In determining how long to maintain the current 0 to 1/4 percent target range for the federal funds rate,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for a considerable time after the asset purchase program ends, especially if projected inflation continues to run below the Committee's 2 percent longer-run goal, and provided that longer-term inflation expectations remain well anchored.</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Janet L. Yellen, Chair; William C. Dudley, Vice Chairman; Lael Brainard; Stanley Fischer; Richard W. Fisher; Narayana Kocherlakota; Loretta J. Mester; Jerome H. Powell; and Daniel K. Tarullo. Voting against was Charles I. Plosser who objected to the guidance indicating that it likely will be appropriate to maintain the current target range for the federal funds rate for "a considerable time after the asset purchase program ends," because such language is time dependent and does not reflect the considerable economic progress that has been made toward the Committee's goals.</w:t>
      </w:r>
    </w:p>
    <w:p w:rsidR="00CB25AB" w:rsidRDefault="00CB25AB" w:rsidP="00CB25AB">
      <w:pPr>
        <w:pStyle w:val="StandardWeb"/>
        <w:shd w:val="clear" w:color="auto" w:fill="FFFFFF"/>
        <w:spacing w:before="0" w:beforeAutospacing="0" w:after="150" w:afterAutospacing="0"/>
        <w:rPr>
          <w:rFonts w:ascii="Arial" w:hAnsi="Arial" w:cs="Arial"/>
          <w:color w:val="333333"/>
          <w:sz w:val="21"/>
          <w:szCs w:val="21"/>
        </w:rPr>
      </w:pPr>
      <w:hyperlink r:id="rId5" w:tgtFrame="_self" w:history="1">
        <w:r>
          <w:rPr>
            <w:rStyle w:val="Hyperlink"/>
            <w:rFonts w:ascii="Arial" w:hAnsi="Arial" w:cs="Arial"/>
            <w:color w:val="3A6C9C"/>
            <w:sz w:val="21"/>
            <w:szCs w:val="21"/>
          </w:rPr>
          <w:t>Statement Regarding Purchases of Treasury Securities and Agency Mortgage-Backed Securities</w:t>
        </w:r>
      </w:hyperlink>
    </w:p>
    <w:p w:rsidR="00CB25AB" w:rsidRDefault="00CB25AB" w:rsidP="00CB25AB">
      <w:pPr>
        <w:pStyle w:val="listicon"/>
        <w:numPr>
          <w:ilvl w:val="0"/>
          <w:numId w:val="14"/>
        </w:numPr>
        <w:shd w:val="clear" w:color="auto" w:fill="E5E5E5"/>
        <w:ind w:left="345"/>
        <w:rPr>
          <w:rFonts w:ascii="Arial" w:hAnsi="Arial" w:cs="Arial"/>
          <w:color w:val="333333"/>
          <w:sz w:val="21"/>
          <w:szCs w:val="21"/>
        </w:rPr>
      </w:pPr>
      <w:hyperlink w:history="1">
        <w:r>
          <w:rPr>
            <w:rStyle w:val="Hyperlink"/>
            <w:rFonts w:ascii="Arial" w:hAnsi="Arial" w:cs="Arial"/>
            <w:color w:val="3A6C9C"/>
            <w:sz w:val="21"/>
            <w:szCs w:val="21"/>
          </w:rPr>
          <w:t>Statement Regarding Purchases of Treasury Securities and Agency Mortgage-Backed Securities</w:t>
        </w:r>
      </w:hyperlink>
    </w:p>
    <w:p w:rsidR="00CB25AB" w:rsidRDefault="00CB25AB" w:rsidP="00CB25AB">
      <w:pPr>
        <w:shd w:val="clear" w:color="auto" w:fill="FFFFFF"/>
        <w:rPr>
          <w:rFonts w:ascii="Georgia" w:hAnsi="Georgia" w:cs="Arial"/>
          <w:color w:val="333333"/>
          <w:sz w:val="21"/>
          <w:szCs w:val="21"/>
        </w:rPr>
      </w:pPr>
      <w:r>
        <w:rPr>
          <w:rFonts w:ascii="Georgia" w:hAnsi="Georgia" w:cs="Arial"/>
          <w:color w:val="333333"/>
          <w:sz w:val="21"/>
          <w:szCs w:val="21"/>
        </w:rPr>
        <w:t>Last Update: July 30, 2014</w:t>
      </w:r>
    </w:p>
    <w:p w:rsidR="00F67AA3" w:rsidRPr="00CB25AB" w:rsidRDefault="00F67AA3" w:rsidP="00CB25AB"/>
    <w:sectPr w:rsidR="00F67AA3" w:rsidRPr="00CB25A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3"/>
  </w:num>
  <w:num w:numId="5">
    <w:abstractNumId w:val="6"/>
  </w:num>
  <w:num w:numId="6">
    <w:abstractNumId w:val="7"/>
  </w:num>
  <w:num w:numId="7">
    <w:abstractNumId w:val="8"/>
  </w:num>
  <w:num w:numId="8">
    <w:abstractNumId w:val="11"/>
  </w:num>
  <w:num w:numId="9">
    <w:abstractNumId w:val="9"/>
  </w:num>
  <w:num w:numId="10">
    <w:abstractNumId w:val="5"/>
  </w:num>
  <w:num w:numId="11">
    <w:abstractNumId w:val="0"/>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821104"/>
    <w:rsid w:val="00864F2B"/>
    <w:rsid w:val="00BB36A8"/>
    <w:rsid w:val="00CB25AB"/>
    <w:rsid w:val="00CB72BC"/>
    <w:rsid w:val="00CD00CC"/>
    <w:rsid w:val="00D1599F"/>
    <w:rsid w:val="00D41637"/>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y.frb.org/markets/opolicy/operating_policy_1407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5278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2020-03-21T11:28:00Z</cp:lastPrinted>
  <dcterms:created xsi:type="dcterms:W3CDTF">2020-03-21T11:29:00Z</dcterms:created>
  <dcterms:modified xsi:type="dcterms:W3CDTF">2020-03-21T11:29:00Z</dcterms:modified>
</cp:coreProperties>
</file>