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5A91" w:rsidRPr="000B5A91" w:rsidRDefault="000B5A91" w:rsidP="000B5A91">
      <w:pPr>
        <w:pStyle w:val="articletime"/>
        <w:shd w:val="clear" w:color="auto" w:fill="FFFFFF"/>
        <w:spacing w:before="0" w:beforeAutospacing="0" w:after="150" w:afterAutospacing="0"/>
        <w:rPr>
          <w:rFonts w:ascii="Arial" w:hAnsi="Arial" w:cs="Arial"/>
          <w:color w:val="163855"/>
          <w:sz w:val="21"/>
          <w:szCs w:val="21"/>
          <w:lang w:val="en-US"/>
        </w:rPr>
      </w:pPr>
      <w:r w:rsidRPr="000B5A91">
        <w:rPr>
          <w:rFonts w:ascii="Arial" w:hAnsi="Arial" w:cs="Arial"/>
          <w:color w:val="163855"/>
          <w:sz w:val="21"/>
          <w:szCs w:val="21"/>
          <w:lang w:val="en-US"/>
        </w:rPr>
        <w:t>April 29, 2015</w:t>
      </w:r>
    </w:p>
    <w:p w:rsidR="000B5A91" w:rsidRPr="000B5A91" w:rsidRDefault="000B5A91" w:rsidP="000B5A91">
      <w:pPr>
        <w:pStyle w:val="berschrift3"/>
        <w:shd w:val="clear" w:color="auto" w:fill="FFFFFF"/>
        <w:spacing w:before="150" w:beforeAutospacing="0" w:after="225" w:afterAutospacing="0"/>
        <w:rPr>
          <w:rFonts w:ascii="Georgia" w:hAnsi="Georgia" w:cs="Arial"/>
          <w:b w:val="0"/>
          <w:bCs w:val="0"/>
          <w:color w:val="163855"/>
          <w:lang w:val="en-US"/>
        </w:rPr>
      </w:pPr>
      <w:r w:rsidRPr="000B5A91">
        <w:rPr>
          <w:rFonts w:ascii="Georgia" w:hAnsi="Georgia" w:cs="Arial"/>
          <w:b w:val="0"/>
          <w:bCs w:val="0"/>
          <w:color w:val="163855"/>
          <w:lang w:val="en-US"/>
        </w:rPr>
        <w:t>Federal Reserve issues FOMC statement</w:t>
      </w:r>
    </w:p>
    <w:p w:rsidR="000B5A91" w:rsidRPr="000B5A91" w:rsidRDefault="000B5A91" w:rsidP="000B5A91">
      <w:pPr>
        <w:pStyle w:val="releasetime"/>
        <w:shd w:val="clear" w:color="auto" w:fill="FFFFFF"/>
        <w:spacing w:before="0" w:beforeAutospacing="0" w:after="150" w:afterAutospacing="0"/>
        <w:rPr>
          <w:rFonts w:ascii="Arial" w:hAnsi="Arial" w:cs="Arial"/>
          <w:color w:val="163855"/>
          <w:sz w:val="21"/>
          <w:szCs w:val="21"/>
          <w:lang w:val="en-US"/>
        </w:rPr>
      </w:pPr>
      <w:r w:rsidRPr="000B5A91">
        <w:rPr>
          <w:rFonts w:ascii="Arial" w:hAnsi="Arial" w:cs="Arial"/>
          <w:color w:val="163855"/>
          <w:sz w:val="21"/>
          <w:szCs w:val="21"/>
          <w:lang w:val="en-US"/>
        </w:rPr>
        <w:t>For immediate release</w:t>
      </w:r>
      <w:r w:rsidRPr="000B5A91">
        <w:rPr>
          <w:rStyle w:val="apple-converted-space"/>
          <w:rFonts w:ascii="Arial" w:hAnsi="Arial" w:cs="Arial"/>
          <w:color w:val="163855"/>
          <w:sz w:val="21"/>
          <w:szCs w:val="21"/>
          <w:lang w:val="en-US"/>
        </w:rPr>
        <w:t> </w:t>
      </w:r>
    </w:p>
    <w:p w:rsidR="000B5A91" w:rsidRPr="000B5A91" w:rsidRDefault="000B5A91" w:rsidP="000B5A91">
      <w:pPr>
        <w:pStyle w:val="StandardWeb"/>
        <w:shd w:val="clear" w:color="auto" w:fill="FFFFFF"/>
        <w:spacing w:before="0" w:beforeAutospacing="0" w:after="150" w:afterAutospacing="0"/>
        <w:rPr>
          <w:rFonts w:ascii="Arial" w:hAnsi="Arial" w:cs="Arial"/>
          <w:color w:val="333333"/>
          <w:sz w:val="21"/>
          <w:szCs w:val="21"/>
          <w:lang w:val="en-US"/>
        </w:rPr>
      </w:pPr>
      <w:r w:rsidRPr="000B5A91">
        <w:rPr>
          <w:rFonts w:ascii="Arial" w:hAnsi="Arial" w:cs="Arial"/>
          <w:color w:val="333333"/>
          <w:sz w:val="21"/>
          <w:szCs w:val="21"/>
          <w:lang w:val="en-US"/>
        </w:rPr>
        <w:t>Information received since the Federal Open Market Committee met in March suggests that economic growth slowed during the winter months, in part reflecting transitory factors. The pace of job gains moderated, and the unemployment rate remained steady. A range of labor market indicators suggests that underutilization of labor resources was little changed. Growth in household spending declined; households' real incomes rose strongly, partly reflecting earlier declines in energy prices, and consumer sentiment remains high. Business fixed investment softened, the recovery in the housing sector remained slow, and exports declined. Inflation continued to run below the Committee's longer-run objective, partly reflecting earlier declines in energy prices and decreasing prices of non-energy imports. Market-based measures of inflation compensation remain low; survey-based measures of longer-term inflation expectations have remained stable.</w:t>
      </w:r>
    </w:p>
    <w:p w:rsidR="000B5A91" w:rsidRPr="000B5A91" w:rsidRDefault="000B5A91" w:rsidP="000B5A91">
      <w:pPr>
        <w:pStyle w:val="StandardWeb"/>
        <w:shd w:val="clear" w:color="auto" w:fill="FFFFFF"/>
        <w:spacing w:before="0" w:beforeAutospacing="0" w:after="150" w:afterAutospacing="0"/>
        <w:rPr>
          <w:rFonts w:ascii="Arial" w:hAnsi="Arial" w:cs="Arial"/>
          <w:color w:val="333333"/>
          <w:sz w:val="21"/>
          <w:szCs w:val="21"/>
          <w:lang w:val="en-US"/>
        </w:rPr>
      </w:pPr>
      <w:r w:rsidRPr="000B5A91">
        <w:rPr>
          <w:rFonts w:ascii="Arial" w:hAnsi="Arial" w:cs="Arial"/>
          <w:color w:val="333333"/>
          <w:sz w:val="21"/>
          <w:szCs w:val="21"/>
          <w:lang w:val="en-US"/>
        </w:rPr>
        <w:t>Consistent with its statutory mandate, the Committee seeks to foster maximum employment and price stability. Although growth in output and employment slowed during the first quarter, the Committee continues to expect that, with appropriate policy accommodation, economic activity will expand at a moderate pace, with labor market indicators continuing to move toward levels the Committee judges consistent with its dual mandate. The Committee continues to see the risks to the outlook for economic activity and the labor market as nearly balanced. Inflation is anticipated to remain near its recent low level in the near term, but the Committee expects inflation to rise gradually toward 2 percent over the medium term as the labor market improves further and the transitory effects of declines in energy and import prices dissipate. The Committee continues to monitor inflation developments closely.</w:t>
      </w:r>
    </w:p>
    <w:p w:rsidR="000B5A91" w:rsidRPr="000B5A91" w:rsidRDefault="000B5A91" w:rsidP="000B5A91">
      <w:pPr>
        <w:pStyle w:val="StandardWeb"/>
        <w:shd w:val="clear" w:color="auto" w:fill="FFFFFF"/>
        <w:spacing w:before="0" w:beforeAutospacing="0" w:after="150" w:afterAutospacing="0"/>
        <w:rPr>
          <w:rFonts w:ascii="Arial" w:hAnsi="Arial" w:cs="Arial"/>
          <w:color w:val="333333"/>
          <w:sz w:val="21"/>
          <w:szCs w:val="21"/>
          <w:lang w:val="en-US"/>
        </w:rPr>
      </w:pPr>
      <w:r w:rsidRPr="000B5A91">
        <w:rPr>
          <w:rFonts w:ascii="Arial" w:hAnsi="Arial" w:cs="Arial"/>
          <w:color w:val="333333"/>
          <w:sz w:val="21"/>
          <w:szCs w:val="21"/>
          <w:lang w:val="en-US"/>
        </w:rPr>
        <w:t>To support continued progress toward maximum employment and price stability, the Committee today reaffirmed its view that the current 0 to 1/4 percent target range for the federal funds rate remains appropriate. In determining how long to maintain this target range,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and international developments. The Committee anticipates that it will be appropriate to raise the target range for the federal funds rate when it has seen further improvement in the labor market and is reasonably confident that inflation will move back to its 2 percent objective over the medium term.</w:t>
      </w:r>
    </w:p>
    <w:p w:rsidR="000B5A91" w:rsidRPr="000B5A91" w:rsidRDefault="000B5A91" w:rsidP="000B5A91">
      <w:pPr>
        <w:pStyle w:val="StandardWeb"/>
        <w:shd w:val="clear" w:color="auto" w:fill="FFFFFF"/>
        <w:spacing w:before="0" w:beforeAutospacing="0" w:after="150" w:afterAutospacing="0"/>
        <w:rPr>
          <w:rFonts w:ascii="Arial" w:hAnsi="Arial" w:cs="Arial"/>
          <w:color w:val="333333"/>
          <w:sz w:val="21"/>
          <w:szCs w:val="21"/>
          <w:lang w:val="en-US"/>
        </w:rPr>
      </w:pPr>
      <w:r w:rsidRPr="000B5A91">
        <w:rPr>
          <w:rFonts w:ascii="Arial" w:hAnsi="Arial" w:cs="Arial"/>
          <w:color w:val="333333"/>
          <w:sz w:val="21"/>
          <w:szCs w:val="21"/>
          <w:lang w:val="en-US"/>
        </w:rPr>
        <w:t>The Committee is maintaining its existing policy of reinvesting principal payments from its holdings of agency debt and agency mortgage-backed securities in agency mortgage-backed securities and of rolling over maturing Treasury securities at auction. This policy, by keeping the Committee's holdings of longer-term securities at sizable levels, should help maintain accommodative financial conditions.</w:t>
      </w:r>
    </w:p>
    <w:p w:rsidR="000B5A91" w:rsidRPr="000B5A91" w:rsidRDefault="000B5A91" w:rsidP="000B5A91">
      <w:pPr>
        <w:pStyle w:val="StandardWeb"/>
        <w:shd w:val="clear" w:color="auto" w:fill="FFFFFF"/>
        <w:spacing w:before="0" w:beforeAutospacing="0" w:after="150" w:afterAutospacing="0"/>
        <w:rPr>
          <w:rFonts w:ascii="Arial" w:hAnsi="Arial" w:cs="Arial"/>
          <w:color w:val="333333"/>
          <w:sz w:val="21"/>
          <w:szCs w:val="21"/>
          <w:lang w:val="en-US"/>
        </w:rPr>
      </w:pPr>
      <w:r w:rsidRPr="000B5A91">
        <w:rPr>
          <w:rFonts w:ascii="Arial" w:hAnsi="Arial" w:cs="Arial"/>
          <w:color w:val="333333"/>
          <w:sz w:val="21"/>
          <w:szCs w:val="21"/>
          <w:lang w:val="en-US"/>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r>
        <w:rPr>
          <w:rFonts w:ascii="Arial" w:hAnsi="Arial" w:cs="Arial"/>
          <w:color w:val="333333"/>
          <w:sz w:val="21"/>
          <w:szCs w:val="21"/>
        </w:rPr>
        <w:t> </w:t>
      </w:r>
    </w:p>
    <w:p w:rsidR="000B5A91" w:rsidRPr="000B5A91" w:rsidRDefault="000B5A91" w:rsidP="000B5A91">
      <w:pPr>
        <w:pStyle w:val="StandardWeb"/>
        <w:shd w:val="clear" w:color="auto" w:fill="FFFFFF"/>
        <w:spacing w:before="0" w:beforeAutospacing="0" w:after="150" w:afterAutospacing="0"/>
        <w:rPr>
          <w:rFonts w:ascii="Arial" w:hAnsi="Arial" w:cs="Arial"/>
          <w:color w:val="333333"/>
          <w:sz w:val="21"/>
          <w:szCs w:val="21"/>
          <w:lang w:val="en-US"/>
        </w:rPr>
      </w:pPr>
      <w:r w:rsidRPr="000B5A91">
        <w:rPr>
          <w:rFonts w:ascii="Arial" w:hAnsi="Arial" w:cs="Arial"/>
          <w:color w:val="333333"/>
          <w:sz w:val="21"/>
          <w:szCs w:val="21"/>
          <w:lang w:val="en-US"/>
        </w:rPr>
        <w:t xml:space="preserve">Voting for the FOMC monetary policy action </w:t>
      </w:r>
      <w:proofErr w:type="gramStart"/>
      <w:r w:rsidRPr="000B5A91">
        <w:rPr>
          <w:rFonts w:ascii="Arial" w:hAnsi="Arial" w:cs="Arial"/>
          <w:color w:val="333333"/>
          <w:sz w:val="21"/>
          <w:szCs w:val="21"/>
          <w:lang w:val="en-US"/>
        </w:rPr>
        <w:t>were:</w:t>
      </w:r>
      <w:proofErr w:type="gramEnd"/>
      <w:r w:rsidRPr="000B5A91">
        <w:rPr>
          <w:rFonts w:ascii="Arial" w:hAnsi="Arial" w:cs="Arial"/>
          <w:color w:val="333333"/>
          <w:sz w:val="21"/>
          <w:szCs w:val="21"/>
          <w:lang w:val="en-US"/>
        </w:rPr>
        <w:t xml:space="preserve"> Janet L. Yellen, Chair; William C. Dudley, Vice Chairman; Lael Brainard; Charles L. Evans; Stanley Fischer; Jeffrey M. Lacker; Dennis P. Lockhart; Jerome H. Powell; Daniel K. Tarullo; and John C. Williams.</w:t>
      </w:r>
    </w:p>
    <w:p w:rsidR="000B5A91" w:rsidRDefault="000B5A91" w:rsidP="000B5A91">
      <w:pPr>
        <w:shd w:val="clear" w:color="auto" w:fill="FFFFFF"/>
        <w:rPr>
          <w:rFonts w:ascii="Georgia" w:hAnsi="Georgia" w:cs="Arial"/>
          <w:color w:val="333333"/>
          <w:sz w:val="21"/>
          <w:szCs w:val="21"/>
        </w:rPr>
      </w:pPr>
      <w:r>
        <w:rPr>
          <w:rFonts w:ascii="Georgia" w:hAnsi="Georgia" w:cs="Arial"/>
          <w:color w:val="333333"/>
          <w:sz w:val="21"/>
          <w:szCs w:val="21"/>
        </w:rPr>
        <w:t>Last Update: April 29, 2015</w:t>
      </w:r>
    </w:p>
    <w:p w:rsidR="00F67AA3" w:rsidRPr="000B5A91" w:rsidRDefault="00F67AA3" w:rsidP="000B5A91"/>
    <w:sectPr w:rsidR="00F67AA3" w:rsidRPr="000B5A91"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87119"/>
    <w:rsid w:val="000B5A91"/>
    <w:rsid w:val="00226444"/>
    <w:rsid w:val="00285B08"/>
    <w:rsid w:val="00864F2B"/>
    <w:rsid w:val="00CD00CC"/>
    <w:rsid w:val="00E855D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543</Words>
  <Characters>3422</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2020-03-21T10:39:00Z</cp:lastPrinted>
  <dcterms:created xsi:type="dcterms:W3CDTF">2020-03-21T10:41:00Z</dcterms:created>
  <dcterms:modified xsi:type="dcterms:W3CDTF">2020-03-21T10:41:00Z</dcterms:modified>
</cp:coreProperties>
</file>