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1600"/>
      </w:pPr>
      <w:r>
        <w:t xml:space="preserve"/>
      </w:r>
    </w:p>
    <w:p>
      <w:pPr>
        <w:pBdr>
          <w:left w:val="single" w:color="3A6EA5" w:sz="36" w:space="20"/>
        </w:pBdr>
        <w:spacing w:before="0" w:after="60"/>
        <w:jc w:val="left"/>
      </w:pPr>
      <w:r>
        <w:rPr>
          <w:rFonts w:ascii="Times New Roman" w:cs="Times New Roman" w:eastAsia="Times New Roman" w:hAnsi="Times New Roman"/>
          <w:b/>
          <w:bCs/>
          <w:color w:val="1C2D40"/>
          <w:sz w:val="80"/>
          <w:szCs w:val="80"/>
        </w:rPr>
        <w:t xml:space="preserve">E-COMMERCE</w:t>
      </w:r>
    </w:p>
    <w:p>
      <w:pPr>
        <w:pBdr>
          <w:left w:val="single" w:color="3A6EA5" w:sz="36" w:space="20"/>
        </w:pBdr>
        <w:spacing w:before="0" w:after="0"/>
        <w:jc w:val="left"/>
      </w:pPr>
      <w:r>
        <w:rPr>
          <w:rFonts w:ascii="Times New Roman" w:cs="Times New Roman" w:eastAsia="Times New Roman" w:hAnsi="Times New Roman"/>
          <w:i/>
          <w:iCs/>
          <w:color w:val="5A5A5A"/>
          <w:sz w:val="26"/>
          <w:szCs w:val="26"/>
        </w:rPr>
        <w:t xml:space="preserve">Documentação Técnica do Projeto</w:t>
      </w:r>
    </w:p>
    <w:p>
      <w:pPr>
        <w:spacing w:before="600" w:after="600"/>
      </w:pPr>
      <w:r>
        <w:t xml:space="preserve"/>
      </w:r>
    </w:p>
    <w:p>
      <w:pPr>
        <w:spacing w:before="0" w:after="40"/>
        <w:jc w:val="left"/>
      </w:pPr>
      <w:r>
        <w:rPr>
          <w:rFonts w:ascii="Times New Roman" w:cs="Times New Roman" w:eastAsia="Times New Roman" w:hAnsi="Times New Roman"/>
          <w:color w:val="5A5A5A"/>
          <w:sz w:val="20"/>
          <w:szCs w:val="20"/>
        </w:rPr>
        <w:t xml:space="preserve">SQL Server  ·  T-SQL  ·  Power BI</w:t>
      </w:r>
    </w:p>
    <w:p>
      <w:pPr>
        <w:spacing w:before="0" w:after="0"/>
        <w:jc w:val="left"/>
      </w:pPr>
      <w:r>
        <w:rPr>
          <w:rFonts w:ascii="Times New Roman" w:cs="Times New Roman" w:eastAsia="Times New Roman" w:hAnsi="Times New Roman"/>
          <w:color w:val="5A5A5A"/>
          <w:sz w:val="20"/>
          <w:szCs w:val="20"/>
        </w:rPr>
        <w:t xml:space="preserve">Dataset Olist Brazilian E-Commerce  ·  2016 – 2018</w:t>
      </w:r>
    </w:p>
    <w:p>
      <w:r>
        <w:br w:type="page"/>
      </w:r>
    </w:p>
    <w:p>
      <w:pPr>
        <w:pBdr>
          <w:bottom w:val="single" w:color="3A6EA5" w:sz="8" w:space="6"/>
        </w:pBdr>
        <w:spacing w:before="560" w:after="80"/>
      </w:pPr>
      <w:r>
        <w:rPr>
          <w:rFonts w:ascii="Times New Roman" w:cs="Times New Roman" w:eastAsia="Times New Roman" w:hAnsi="Times New Roman"/>
          <w:b/>
          <w:bCs/>
          <w:color w:val="3A6EA5"/>
          <w:sz w:val="44"/>
          <w:szCs w:val="44"/>
        </w:rPr>
        <w:t xml:space="preserve">  </w:t>
      </w:r>
      <w:r>
        <w:rPr>
          <w:rFonts w:ascii="Times New Roman" w:cs="Times New Roman" w:eastAsia="Times New Roman" w:hAnsi="Times New Roman"/>
          <w:b/>
          <w:bCs/>
          <w:color w:val="1C2D40"/>
          <w:sz w:val="34"/>
          <w:szCs w:val="34"/>
        </w:rPr>
        <w:t xml:space="preserve">Sumário</w:t>
      </w:r>
    </w:p>
    <w:p>
      <w:pPr>
        <w:spacing w:before="60" w:after="60"/>
      </w:pPr>
      <w:r>
        <w:t xml:space="preserve"/>
      </w:r>
    </w:p>
    <w:p>
      <w:pPr>
        <w:tabs>
          <w:tab w:val="right" w:pos="8600"/>
        </w:tabs>
        <w:spacing w:before="60" w:after="6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       Introdução</w:t>
      </w:r>
    </w:p>
    <w:p>
      <w:pPr>
        <w:tabs>
          <w:tab w:val="right" w:pos="8600"/>
        </w:tabs>
        <w:spacing w:before="60" w:after="6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1.  Visão Geral do Projeto</w:t>
      </w:r>
    </w:p>
    <w:p>
      <w:pPr>
        <w:tabs>
          <w:tab w:val="right" w:pos="8600"/>
        </w:tabs>
        <w:spacing w:before="60" w:after="6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2.  Tecnologias Utilizadas</w:t>
      </w:r>
    </w:p>
    <w:p>
      <w:pPr>
        <w:tabs>
          <w:tab w:val="right" w:pos="8600"/>
        </w:tabs>
        <w:spacing w:before="60" w:after="6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3.  Fontes de Dados</w:t>
      </w:r>
    </w:p>
    <w:p>
      <w:pPr>
        <w:tabs>
          <w:tab w:val="right" w:pos="8600"/>
        </w:tabs>
        <w:spacing w:before="60" w:after="6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4.  Arquitetura — Esquema Estrela</w:t>
      </w:r>
    </w:p>
    <w:p>
      <w:pPr>
        <w:tabs>
          <w:tab w:val="right" w:pos="8600"/>
        </w:tabs>
        <w:spacing w:before="60" w:after="6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5.  Tabelas Fato</w:t>
      </w:r>
    </w:p>
    <w:p>
      <w:pPr>
        <w:tabs>
          <w:tab w:val="right" w:pos="8600"/>
        </w:tabs>
        <w:spacing w:before="60" w:after="6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6.  Tabelas Dimensão</w:t>
      </w:r>
    </w:p>
    <w:p>
      <w:pPr>
        <w:tabs>
          <w:tab w:val="right" w:pos="8600"/>
        </w:tabs>
        <w:spacing w:before="60" w:after="6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7.  Tabelas de Apoio</w:t>
      </w:r>
    </w:p>
    <w:p>
      <w:pPr>
        <w:tabs>
          <w:tab w:val="right" w:pos="8600"/>
        </w:tabs>
        <w:spacing w:before="60" w:after="6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8.  Tipos de Dados Utilizados</w:t>
      </w:r>
    </w:p>
    <w:p>
      <w:pPr>
        <w:tabs>
          <w:tab w:val="right" w:pos="8600"/>
        </w:tabs>
        <w:spacing w:before="60" w:after="6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9.  Objetos T-SQL</w:t>
      </w:r>
    </w:p>
    <w:p>
      <w:pPr>
        <w:tabs>
          <w:tab w:val="right" w:pos="8600"/>
        </w:tabs>
        <w:spacing w:before="60" w:after="6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10.  Camada de Visualização — Power BI</w:t>
      </w:r>
    </w:p>
    <w:p>
      <w:pPr>
        <w:tabs>
          <w:tab w:val="right" w:pos="8600"/>
        </w:tabs>
        <w:spacing w:before="60" w:after="6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11.  Perguntas de Negócio Respondidas</w:t>
      </w:r>
    </w:p>
    <w:p>
      <w:r>
        <w:br w:type="page"/>
      </w:r>
    </w:p>
    <w:p>
      <w:pPr>
        <w:pBdr>
          <w:bottom w:val="single" w:color="3A6EA5" w:sz="8" w:space="6"/>
        </w:pBdr>
        <w:spacing w:before="560" w:after="80"/>
      </w:pPr>
      <w:r>
        <w:rPr>
          <w:rFonts w:ascii="Times New Roman" w:cs="Times New Roman" w:eastAsia="Times New Roman" w:hAnsi="Times New Roman"/>
          <w:b/>
          <w:bCs/>
          <w:color w:val="3A6EA5"/>
          <w:sz w:val="44"/>
          <w:szCs w:val="44"/>
        </w:rPr>
        <w:t xml:space="preserve">  </w:t>
      </w:r>
      <w:r>
        <w:rPr>
          <w:rFonts w:ascii="Times New Roman" w:cs="Times New Roman" w:eastAsia="Times New Roman" w:hAnsi="Times New Roman"/>
          <w:b/>
          <w:bCs/>
          <w:color w:val="1C2D40"/>
          <w:sz w:val="34"/>
          <w:szCs w:val="34"/>
        </w:rPr>
        <w:t xml:space="preserve">Introdução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O crescimento acelerado do comércio eletrônico no Brasil ao longo da última década consolidou o setor como um dos principais vetores da economia digital do país. Nesse contexto, a capacidade de transformar grandes volumes de dados transacionais em informação estratégica torna-se um diferencial competitivo relevante para organizações que operam em ambientes de alta concorrência e margens reduzidas.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O presente projeto, denominado </w:t>
      </w:r>
      <w:r>
        <w:rPr>
          <w:rFonts w:ascii="Times New Roman" w:cs="Times New Roman" w:eastAsia="Times New Roman" w:hAnsi="Times New Roman"/>
          <w:b/>
          <w:bCs/>
          <w:color w:val="2E2E2E"/>
          <w:sz w:val="20"/>
          <w:szCs w:val="20"/>
        </w:rPr>
        <w:t xml:space="preserve">E-COMMERCE</w:t>
      </w: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, tem por objetivo a construção de um armazém de dados </w:t>
      </w:r>
      <w:r>
        <w:rPr>
          <w:rFonts w:ascii="Times New Roman" w:cs="Times New Roman" w:eastAsia="Times New Roman" w:hAnsi="Times New Roman"/>
          <w:i/>
          <w:iCs/>
          <w:color w:val="5A5A5A"/>
          <w:sz w:val="20"/>
          <w:szCs w:val="20"/>
        </w:rPr>
        <w:t xml:space="preserve">(Data Warehouse)</w:t>
      </w: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 sobre dados reais do marketplace brasileiro Olist, compreendendo o período de setembro de 2016 a outubro de 2018. O projeto abrange todas as etapas do ciclo de vida do dado: da ingestão dos arquivos brutos até a entrega de indicadores de desempenho em painéis interativos, passando pela modelagem dimensional, transformação, carga e controle de qualidade.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A escolha do dataset Olist justifica-se por três razões principais. Primeira: trata-se de dados reais de um negócio brasileiro ativo, com todas as irregularidades e complexidades inerentes ao ambiente de produção. Segunda: o conjunto de arquivos cobre múltiplas dimensões do negócio — pedidos, clientes, vendedores, produtos, pagamentos, avaliações e geolocalização —, o que permite a construção de um modelo dimensional completo e representativo. Terceira: o volume de registros é suficiente para demonstrar, em ambiente acadêmico, as implicações práticas das decisões de modelagem e otimização.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Do ponto de vista tecnológico, o projeto adota o </w:t>
      </w:r>
      <w:r>
        <w:rPr>
          <w:rFonts w:ascii="Times New Roman" w:cs="Times New Roman" w:eastAsia="Times New Roman" w:hAnsi="Times New Roman"/>
          <w:b/>
          <w:bCs/>
          <w:color w:val="2E2E2E"/>
          <w:sz w:val="20"/>
          <w:szCs w:val="20"/>
        </w:rPr>
        <w:t xml:space="preserve">Microsoft SQL Server</w:t>
      </w: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 como plataforma de armazenamento e processamento, fazendo uso das capacidades da linguagem T-SQL para implementar a lógica de extração, transformação e carga de dados por meio de procedimentos armazenados, visões, funções e gatilhos. A camada de visualização é operacionalizada pelo </w:t>
      </w:r>
      <w:r>
        <w:rPr>
          <w:rFonts w:ascii="Times New Roman" w:cs="Times New Roman" w:eastAsia="Times New Roman" w:hAnsi="Times New Roman"/>
          <w:b/>
          <w:bCs/>
          <w:color w:val="2E2E2E"/>
          <w:sz w:val="20"/>
          <w:szCs w:val="20"/>
        </w:rPr>
        <w:t xml:space="preserve">Microsoft Power BI</w:t>
      </w: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, conectado diretamente ao banco de dados e responsável pela entrega dos indicadores estratégicos definidos como perguntas de negócio.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Esta documentação está organizada de forma a conduzir o leitor do contexto geral do projeto até o detalhamento técnico de cada componente. As seções iniciais apresentam as tecnologias adotadas e as fontes de dados utilizadas. Em seguida, são descritos a arquitetura do modelo dimensional e o detalhamento de cada tabela — fato, dimensão e apoio —, com especificação coluna a coluna. A documentação contempla ainda a explicação dos tipos de dados empregados, o inventário dos objetos programáveis criados no banco e o mapeamento entre as consultas de negócio e seus respectivos painéis no Power BI.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O conjunto de decisões técnicas documentado a seguir reflete os princípios de clareza estrutural, rastreabilidade do processo e separação de responsabilidades entre as camadas de dados, transformação e apresentação.</w:t>
      </w:r>
    </w:p>
    <w:p>
      <w:pPr>
        <w:spacing w:before="200" w:after="200"/>
      </w:pPr>
      <w:r>
        <w:t xml:space="preserve"/>
      </w:r>
    </w:p>
    <w:p>
      <w:r>
        <w:br w:type="page"/>
      </w:r>
    </w:p>
    <w:p>
      <w:pPr>
        <w:pBdr>
          <w:bottom w:val="single" w:color="3A6EA5" w:sz="8" w:space="6"/>
        </w:pBdr>
        <w:spacing w:before="560" w:after="80"/>
      </w:pPr>
      <w:r>
        <w:rPr>
          <w:rFonts w:ascii="Times New Roman" w:cs="Times New Roman" w:eastAsia="Times New Roman" w:hAnsi="Times New Roman"/>
          <w:b/>
          <w:bCs/>
          <w:color w:val="3A6EA5"/>
          <w:sz w:val="44"/>
          <w:szCs w:val="44"/>
        </w:rPr>
        <w:t xml:space="preserve">1  </w:t>
      </w:r>
      <w:r>
        <w:rPr>
          <w:rFonts w:ascii="Times New Roman" w:cs="Times New Roman" w:eastAsia="Times New Roman" w:hAnsi="Times New Roman"/>
          <w:b/>
          <w:bCs/>
          <w:color w:val="1C2D40"/>
          <w:sz w:val="34"/>
          <w:szCs w:val="34"/>
        </w:rPr>
        <w:t xml:space="preserve">Visão Geral do Projeto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O projeto </w:t>
      </w:r>
      <w:r>
        <w:rPr>
          <w:rFonts w:ascii="Times New Roman" w:cs="Times New Roman" w:eastAsia="Times New Roman" w:hAnsi="Times New Roman"/>
          <w:b/>
          <w:bCs/>
          <w:color w:val="2E2E2E"/>
          <w:sz w:val="20"/>
          <w:szCs w:val="20"/>
        </w:rPr>
        <w:t xml:space="preserve">E-COMMERCE</w:t>
      </w: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 é um Data Warehouse construído sobre dados reais do marketplace brasileiro Olist, disponibilizados publicamente no Kaggle. O objetivo central é consolidar, transformar e analisar informações de pedidos, clientes, vendedores, produtos e pagamentos do período 2016 a 2018, respondendo a dez perguntas estratégicas de negócio.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O modelo segue o padrão </w:t>
      </w:r>
      <w:r>
        <w:rPr>
          <w:rFonts w:ascii="Times New Roman" w:cs="Times New Roman" w:eastAsia="Times New Roman" w:hAnsi="Times New Roman"/>
          <w:b/>
          <w:bCs/>
          <w:color w:val="2C4A6E"/>
          <w:sz w:val="20"/>
          <w:szCs w:val="20"/>
        </w:rPr>
        <w:t xml:space="preserve">Esquema Estrela</w:t>
      </w: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: tabelas fato no centro conectadas a dimensões ao redor. Toda a transformação de dados ocorre no SQL Server via T-SQL. A visualização é feita no Power BI, que consome diretamente as visões e os procedimentos analíticos do banco.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2D6A4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Tabelas Fato</w:t>
            </w:r>
          </w:p>
        </w:tc>
        <w:tc>
          <w:tcPr>
            <w:tcW w:type="dxa" w:w="225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Dimensões</w:t>
            </w:r>
          </w:p>
        </w:tc>
        <w:tc>
          <w:tcPr>
            <w:tcW w:type="dxa" w:w="2257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7D4E1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Área de Pouso</w:t>
            </w:r>
          </w:p>
        </w:tc>
        <w:tc>
          <w:tcPr>
            <w:tcW w:type="dxa" w:w="2257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4A306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Controle</w:t>
            </w:r>
          </w:p>
        </w:tc>
      </w:tr>
      <w:tr>
        <w:tc>
          <w:tcPr>
            <w:tcW w:type="dxa" w:w="225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D6A4F"/>
                <w:sz w:val="18"/>
                <w:szCs w:val="18"/>
              </w:rPr>
              <w:t xml:space="preserve">4 tabelas</w:t>
            </w:r>
          </w:p>
        </w:tc>
        <w:tc>
          <w:tcPr>
            <w:tcW w:type="dxa" w:w="225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C2D40"/>
                <w:sz w:val="18"/>
                <w:szCs w:val="18"/>
              </w:rPr>
              <w:t xml:space="preserve">10 tabelas</w:t>
            </w:r>
          </w:p>
        </w:tc>
        <w:tc>
          <w:tcPr>
            <w:tcW w:type="dxa" w:w="2257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7D4E1E"/>
                <w:sz w:val="18"/>
                <w:szCs w:val="18"/>
              </w:rPr>
              <w:t xml:space="preserve">1 tabela</w:t>
            </w:r>
          </w:p>
        </w:tc>
        <w:tc>
          <w:tcPr>
            <w:tcW w:type="dxa" w:w="2257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EC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4A3060"/>
                <w:sz w:val="18"/>
                <w:szCs w:val="18"/>
              </w:rPr>
              <w:t xml:space="preserve">1 tabela</w:t>
            </w:r>
          </w:p>
        </w:tc>
      </w:tr>
      <w:tr>
        <w:tc>
          <w:tcPr>
            <w:tcW w:type="dxa" w:w="225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6A4F"/>
                <w:sz w:val="17"/>
                <w:szCs w:val="17"/>
              </w:rPr>
              <w:t xml:space="preserve">200.000+ registros</w:t>
            </w:r>
          </w:p>
        </w:tc>
        <w:tc>
          <w:tcPr>
            <w:tcW w:type="dxa" w:w="225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2D40"/>
                <w:sz w:val="17"/>
                <w:szCs w:val="17"/>
              </w:rPr>
              <w:t xml:space="preserve">~140.000 registros</w:t>
            </w:r>
          </w:p>
        </w:tc>
        <w:tc>
          <w:tcPr>
            <w:tcW w:type="dxa" w:w="2257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D4E1E"/>
                <w:sz w:val="17"/>
                <w:szCs w:val="17"/>
              </w:rPr>
              <w:t xml:space="preserve">Temporária</w:t>
            </w:r>
          </w:p>
        </w:tc>
        <w:tc>
          <w:tcPr>
            <w:tcW w:type="dxa" w:w="2257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EC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A3060"/>
                <w:sz w:val="17"/>
                <w:szCs w:val="17"/>
              </w:rPr>
              <w:t xml:space="preserve">Auditoria ETL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p>
      <w:pPr>
        <w:pBdr>
          <w:bottom w:val="single" w:color="3A6EA5" w:sz="8" w:space="6"/>
        </w:pBdr>
        <w:spacing w:before="560" w:after="80"/>
      </w:pPr>
      <w:r>
        <w:rPr>
          <w:rFonts w:ascii="Times New Roman" w:cs="Times New Roman" w:eastAsia="Times New Roman" w:hAnsi="Times New Roman"/>
          <w:b/>
          <w:bCs/>
          <w:color w:val="3A6EA5"/>
          <w:sz w:val="44"/>
          <w:szCs w:val="44"/>
        </w:rPr>
        <w:t xml:space="preserve">2  </w:t>
      </w:r>
      <w:r>
        <w:rPr>
          <w:rFonts w:ascii="Times New Roman" w:cs="Times New Roman" w:eastAsia="Times New Roman" w:hAnsi="Times New Roman"/>
          <w:b/>
          <w:bCs/>
          <w:color w:val="1C2D40"/>
          <w:sz w:val="34"/>
          <w:szCs w:val="34"/>
        </w:rPr>
        <w:t xml:space="preserve">Tecnologias Utilizadas</w:t>
      </w:r>
    </w:p>
    <w:p>
      <w:pPr>
        <w:spacing w:before="60" w:after="60"/>
      </w:pPr>
      <w:r>
        <w:t xml:space="preserve"/>
      </w:r>
    </w:p>
    <w:p>
      <w:pPr>
        <w:spacing w:before="360" w:after="100"/>
      </w:pPr>
      <w:r>
        <w:rPr>
          <w:rFonts w:ascii="Times New Roman" w:cs="Times New Roman" w:eastAsia="Times New Roman" w:hAnsi="Times New Roman"/>
          <w:b/>
          <w:bCs/>
          <w:color w:val="2C4A6E"/>
          <w:sz w:val="24"/>
          <w:szCs w:val="24"/>
        </w:rPr>
        <w:t xml:space="preserve">SQL Server — Microsoft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Banco de dados relacional onde todo o processamento acontece. O dialeto usado é o </w:t>
      </w:r>
      <w:r>
        <w:rPr>
          <w:rFonts w:ascii="Times New Roman" w:cs="Times New Roman" w:eastAsia="Times New Roman" w:hAnsi="Times New Roman"/>
          <w:b/>
          <w:bCs/>
          <w:color w:val="2E2E2E"/>
          <w:sz w:val="20"/>
          <w:szCs w:val="20"/>
        </w:rPr>
        <w:t xml:space="preserve">T-SQL</w:t>
      </w: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 (Transact-SQL), que permite criar rotinas automatizadas, regras de negócio direto no banco e uma camada de segurança por perfil de usuário.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Uso no projeto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C2D40"/>
                <w:sz w:val="18"/>
                <w:szCs w:val="18"/>
              </w:rPr>
              <w:t xml:space="preserve">Schemas (dw / stg / ctrl)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Organização em três camadas: dados prontos, área de pouso e auditoria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C2D40"/>
                <w:sz w:val="18"/>
                <w:szCs w:val="18"/>
              </w:rPr>
              <w:t xml:space="preserve">Procedimentos Armazenados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Rotinas de carga automatizada, transformação de dados e relatórios com parâmetros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C2D40"/>
                <w:sz w:val="18"/>
                <w:szCs w:val="18"/>
              </w:rPr>
              <w:t xml:space="preserve">Visões (Views)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Camada de acesso simplificada para o Power BI, sem expor os relacionamentos internos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C2D40"/>
                <w:sz w:val="18"/>
                <w:szCs w:val="18"/>
              </w:rPr>
              <w:t xml:space="preserve">Funções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Cálculos reutilizáveis: crescimento mensal e dias úteis de entrega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C2D40"/>
                <w:sz w:val="18"/>
                <w:szCs w:val="18"/>
              </w:rPr>
              <w:t xml:space="preserve">Gatilhos (Triggers)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Auditoria automática de cargas e validação de regras de negócio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C2D40"/>
                <w:sz w:val="18"/>
                <w:szCs w:val="18"/>
              </w:rPr>
              <w:t xml:space="preserve">Controle de Acesso (DCL)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Permissões por perfil de usuário: analista, engenheiro de dados e administrador</w:t>
            </w:r>
          </w:p>
        </w:tc>
      </w:tr>
    </w:tbl>
    <w:p>
      <w:pPr>
        <w:spacing w:before="180" w:after="180"/>
      </w:pPr>
      <w:r>
        <w:t xml:space="preserve"/>
      </w:r>
    </w:p>
    <w:p>
      <w:pPr>
        <w:spacing w:before="360" w:after="100"/>
      </w:pPr>
      <w:r>
        <w:rPr>
          <w:rFonts w:ascii="Times New Roman" w:cs="Times New Roman" w:eastAsia="Times New Roman" w:hAnsi="Times New Roman"/>
          <w:b/>
          <w:bCs/>
          <w:color w:val="2C4A6E"/>
          <w:sz w:val="24"/>
          <w:szCs w:val="24"/>
        </w:rPr>
        <w:t xml:space="preserve">Power BI — Microsoft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Ferramenta de inteligência de negócios usada na camada de visualização. O Power BI conecta-se diretamente ao SQL Server e consome as visões e procedimentos analíticos para gerar painéis interativos. Nenhum dado é transformado no Power BI — tudo já chega tratado do banco.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Como é utilizado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C2D40"/>
                <w:sz w:val="18"/>
                <w:szCs w:val="18"/>
              </w:rPr>
              <w:t xml:space="preserve">Conexão ao SQL Server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Driver nativo Microsoft. Modo Importação para dimensões, Consulta Direta para tabelas fato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C2D40"/>
                <w:sz w:val="18"/>
                <w:szCs w:val="18"/>
              </w:rPr>
              <w:t xml:space="preserve">Visões como fonte de dados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As cinco visões do banco são consumidas diretamente como tabelas no Power BI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C2D40"/>
                <w:sz w:val="18"/>
                <w:szCs w:val="18"/>
              </w:rPr>
              <w:t xml:space="preserve">Medidas DAX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Indicadores calculados: valor médio de pedido, taxa de recompra, satisfação e crescimento percentual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C2D40"/>
                <w:sz w:val="18"/>
                <w:szCs w:val="18"/>
              </w:rPr>
              <w:t xml:space="preserve">Relatórios interativos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10 painéis correspondendo às 10 perguntas de negócio do projeto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p>
      <w:pPr>
        <w:pBdr>
          <w:bottom w:val="single" w:color="3A6EA5" w:sz="8" w:space="6"/>
        </w:pBdr>
        <w:spacing w:before="560" w:after="80"/>
      </w:pPr>
      <w:r>
        <w:rPr>
          <w:rFonts w:ascii="Times New Roman" w:cs="Times New Roman" w:eastAsia="Times New Roman" w:hAnsi="Times New Roman"/>
          <w:b/>
          <w:bCs/>
          <w:color w:val="3A6EA5"/>
          <w:sz w:val="44"/>
          <w:szCs w:val="44"/>
        </w:rPr>
        <w:t xml:space="preserve">3  </w:t>
      </w:r>
      <w:r>
        <w:rPr>
          <w:rFonts w:ascii="Times New Roman" w:cs="Times New Roman" w:eastAsia="Times New Roman" w:hAnsi="Times New Roman"/>
          <w:b/>
          <w:bCs/>
          <w:color w:val="1C2D40"/>
          <w:sz w:val="34"/>
          <w:szCs w:val="34"/>
        </w:rPr>
        <w:t xml:space="preserve">Fontes de Dados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Os dados vêm de duas fontes públicas: o dataset da Olist no Kaggle e a API aberta do Banco Central do Brasil.</w:t>
      </w:r>
    </w:p>
    <w:p>
      <w:pPr>
        <w:spacing w:before="120" w:after="120"/>
      </w:pPr>
      <w:r>
        <w:t xml:space="preserve"/>
      </w:r>
    </w:p>
    <w:p>
      <w:pPr>
        <w:spacing w:before="360" w:after="100"/>
      </w:pPr>
      <w:r>
        <w:rPr>
          <w:rFonts w:ascii="Times New Roman" w:cs="Times New Roman" w:eastAsia="Times New Roman" w:hAnsi="Times New Roman"/>
          <w:b/>
          <w:bCs/>
          <w:color w:val="2C4A6E"/>
          <w:sz w:val="24"/>
          <w:szCs w:val="24"/>
        </w:rPr>
        <w:t xml:space="preserve">Olist — Kaggle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color w:val="2E2E2E"/>
          <w:sz w:val="18"/>
          <w:szCs w:val="18"/>
        </w:rPr>
        <w:t xml:space="preserve">Acesso: </w:t>
      </w:r>
      <w:r>
        <w:rPr>
          <w:rFonts w:ascii="Times New Roman" w:cs="Times New Roman" w:eastAsia="Times New Roman" w:hAnsi="Times New Roman"/>
          <w:color w:val="3A6EA5"/>
          <w:sz w:val="18"/>
          <w:szCs w:val="18"/>
        </w:rPr>
        <w:t xml:space="preserve">https://www.kaggle.com/datasets/olistbr/brazilian-ecommerce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color w:val="5A5A5A"/>
          <w:sz w:val="17"/>
          <w:szCs w:val="17"/>
        </w:rPr>
        <w:t xml:space="preserve">Formato: CSV  ·  Período: 2016–2018  ·  Licença: CC BY-NC-SA 4.0  ·  Acesso: gratuito, requer cadastro no Kaggle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CDD4" w:sz="1"/>
              <w:left w:val="single" w:color="3A6EA5" w:sz="14"/>
              <w:bottom w:val="single" w:color="C8CDD4" w:sz="1"/>
              <w:right w:val="single" w:color="C8CDD4" w:sz="1"/>
            </w:tcBorders>
            <w:shd w:fill="FFFFFF" w:val="clear"/>
            <w:tcMar>
              <w:top w:type="dxa" w:w="130"/>
              <w:left w:type="dxa" w:w="240"/>
              <w:bottom w:type="dxa" w:w="13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1C2D40"/>
                <w:sz w:val="21"/>
                <w:szCs w:val="21"/>
              </w:rPr>
              <w:t xml:space="preserve">olist_orders_dataset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A5A5A"/>
                <w:sz w:val="17"/>
                <w:szCs w:val="17"/>
              </w:rPr>
              <w:t xml:space="preserve">olist_orders_dataset.csv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 |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~99.441 pedidos</w:t>
            </w:r>
          </w:p>
          <w:p>
            <w:pPr>
              <w:spacing w:before="30" w:after="30"/>
            </w:pPr>
            <w:r>
              <w:rPr>
                <w:rFonts w:ascii="Times New Roman" w:cs="Times New Roman" w:eastAsia="Times New Roman" w:hAnsi="Times New Roman"/>
                <w:color w:val="2E2E2E"/>
                <w:sz w:val="19"/>
                <w:szCs w:val="19"/>
              </w:rPr>
              <w:t xml:space="preserve">Tabela central. Cada linha é um pedido com status, datas de compra, aprovação, envio e entrega. Origem das flags de cancelamento e cálculo de atrasos.</w:t>
            </w:r>
          </w:p>
          <w:p>
            <w:pPr>
              <w:spacing w:before="2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5A5A5A"/>
                <w:sz w:val="17"/>
                <w:szCs w:val="17"/>
              </w:rPr>
              <w:t xml:space="preserve">Colunas: </w:t>
            </w:r>
            <w:r>
              <w:rPr>
                <w:rFonts w:ascii="Courier New" w:cs="Courier New" w:eastAsia="Courier New" w:hAnsi="Courier New"/>
                <w:color w:val="5A5A5A"/>
                <w:sz w:val="16"/>
                <w:szCs w:val="16"/>
              </w:rPr>
              <w:t xml:space="preserve">order_id, customer_id, order_status, order_purchase_timestamp, order_delivered_customer_date, order_estimated_delivery_date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CDD4" w:sz="1"/>
              <w:left w:val="single" w:color="3A6EA5" w:sz="14"/>
              <w:bottom w:val="single" w:color="C8CDD4" w:sz="1"/>
              <w:right w:val="single" w:color="C8CDD4" w:sz="1"/>
            </w:tcBorders>
            <w:shd w:fill="FFFFFF" w:val="clear"/>
            <w:tcMar>
              <w:top w:type="dxa" w:w="130"/>
              <w:left w:type="dxa" w:w="240"/>
              <w:bottom w:type="dxa" w:w="13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1C2D40"/>
                <w:sz w:val="21"/>
                <w:szCs w:val="21"/>
              </w:rPr>
              <w:t xml:space="preserve">olist_order_items_dataset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A5A5A"/>
                <w:sz w:val="17"/>
                <w:szCs w:val="17"/>
              </w:rPr>
              <w:t xml:space="preserve">olist_order_items_dataset.csv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 |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~112.650 itens</w:t>
            </w:r>
          </w:p>
          <w:p>
            <w:pPr>
              <w:spacing w:before="30" w:after="30"/>
            </w:pPr>
            <w:r>
              <w:rPr>
                <w:rFonts w:ascii="Times New Roman" w:cs="Times New Roman" w:eastAsia="Times New Roman" w:hAnsi="Times New Roman"/>
                <w:color w:val="2E2E2E"/>
                <w:sz w:val="19"/>
                <w:szCs w:val="19"/>
              </w:rPr>
              <w:t xml:space="preserve">Detalha os itens de cada pedido: produto, vendedor, preço e frete. Um pedido com três produtos gera três linhas aqui — origem da granularidade de 200.000+ registros na fato.</w:t>
            </w:r>
          </w:p>
          <w:p>
            <w:pPr>
              <w:spacing w:before="2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5A5A5A"/>
                <w:sz w:val="17"/>
                <w:szCs w:val="17"/>
              </w:rPr>
              <w:t xml:space="preserve">Colunas: </w:t>
            </w:r>
            <w:r>
              <w:rPr>
                <w:rFonts w:ascii="Courier New" w:cs="Courier New" w:eastAsia="Courier New" w:hAnsi="Courier New"/>
                <w:color w:val="5A5A5A"/>
                <w:sz w:val="16"/>
                <w:szCs w:val="16"/>
              </w:rPr>
              <w:t xml:space="preserve">order_id, order_item_id, product_id, seller_id, price, freight_value, shipping_limit_date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CDD4" w:sz="1"/>
              <w:left w:val="single" w:color="3A6EA5" w:sz="14"/>
              <w:bottom w:val="single" w:color="C8CDD4" w:sz="1"/>
              <w:right w:val="single" w:color="C8CDD4" w:sz="1"/>
            </w:tcBorders>
            <w:shd w:fill="FFFFFF" w:val="clear"/>
            <w:tcMar>
              <w:top w:type="dxa" w:w="130"/>
              <w:left w:type="dxa" w:w="240"/>
              <w:bottom w:type="dxa" w:w="13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1C2D40"/>
                <w:sz w:val="21"/>
                <w:szCs w:val="21"/>
              </w:rPr>
              <w:t xml:space="preserve">olist_order_payments_dataset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A5A5A"/>
                <w:sz w:val="17"/>
                <w:szCs w:val="17"/>
              </w:rPr>
              <w:t xml:space="preserve">olist_order_payments_dataset.csv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 |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~103.886 pagamentos</w:t>
            </w:r>
          </w:p>
          <w:p>
            <w:pPr>
              <w:spacing w:before="30" w:after="30"/>
            </w:pPr>
            <w:r>
              <w:rPr>
                <w:rFonts w:ascii="Times New Roman" w:cs="Times New Roman" w:eastAsia="Times New Roman" w:hAnsi="Times New Roman"/>
                <w:color w:val="2E2E2E"/>
                <w:sz w:val="19"/>
                <w:szCs w:val="19"/>
              </w:rPr>
              <w:t xml:space="preserve">Transações de pagamento por pedido. Um pedido pode ter múltiplas linhas (cartão + voucher, por exemplo). Fonte principal para Q1.</w:t>
            </w:r>
          </w:p>
          <w:p>
            <w:pPr>
              <w:spacing w:before="2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5A5A5A"/>
                <w:sz w:val="17"/>
                <w:szCs w:val="17"/>
              </w:rPr>
              <w:t xml:space="preserve">Colunas: </w:t>
            </w:r>
            <w:r>
              <w:rPr>
                <w:rFonts w:ascii="Courier New" w:cs="Courier New" w:eastAsia="Courier New" w:hAnsi="Courier New"/>
                <w:color w:val="5A5A5A"/>
                <w:sz w:val="16"/>
                <w:szCs w:val="16"/>
              </w:rPr>
              <w:t xml:space="preserve">order_id, payment_sequential, payment_type, payment_installments, payment_value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CDD4" w:sz="1"/>
              <w:left w:val="single" w:color="3A6EA5" w:sz="14"/>
              <w:bottom w:val="single" w:color="C8CDD4" w:sz="1"/>
              <w:right w:val="single" w:color="C8CDD4" w:sz="1"/>
            </w:tcBorders>
            <w:shd w:fill="FFFFFF" w:val="clear"/>
            <w:tcMar>
              <w:top w:type="dxa" w:w="130"/>
              <w:left w:type="dxa" w:w="240"/>
              <w:bottom w:type="dxa" w:w="13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1C2D40"/>
                <w:sz w:val="21"/>
                <w:szCs w:val="21"/>
              </w:rPr>
              <w:t xml:space="preserve">olist_order_reviews_dataset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A5A5A"/>
                <w:sz w:val="17"/>
                <w:szCs w:val="17"/>
              </w:rPr>
              <w:t xml:space="preserve">olist_order_reviews_dataset.csv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 |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~100.330 avaliações</w:t>
            </w:r>
          </w:p>
          <w:p>
            <w:pPr>
              <w:spacing w:before="30" w:after="30"/>
            </w:pPr>
            <w:r>
              <w:rPr>
                <w:rFonts w:ascii="Times New Roman" w:cs="Times New Roman" w:eastAsia="Times New Roman" w:hAnsi="Times New Roman"/>
                <w:color w:val="2E2E2E"/>
                <w:sz w:val="19"/>
                <w:szCs w:val="19"/>
              </w:rPr>
              <w:t xml:space="preserve">Avaliações dos clientes após a entrega: nota de 1 a 5, título e comentário. Fonte para Q10 e análise de correlação entre atraso e insatisfação.</w:t>
            </w:r>
          </w:p>
          <w:p>
            <w:pPr>
              <w:spacing w:before="2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5A5A5A"/>
                <w:sz w:val="17"/>
                <w:szCs w:val="17"/>
              </w:rPr>
              <w:t xml:space="preserve">Colunas: </w:t>
            </w:r>
            <w:r>
              <w:rPr>
                <w:rFonts w:ascii="Courier New" w:cs="Courier New" w:eastAsia="Courier New" w:hAnsi="Courier New"/>
                <w:color w:val="5A5A5A"/>
                <w:sz w:val="16"/>
                <w:szCs w:val="16"/>
              </w:rPr>
              <w:t xml:space="preserve">review_id, order_id, review_score, review_comment_title, review_comment_message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CDD4" w:sz="1"/>
              <w:left w:val="single" w:color="3A6EA5" w:sz="14"/>
              <w:bottom w:val="single" w:color="C8CDD4" w:sz="1"/>
              <w:right w:val="single" w:color="C8CDD4" w:sz="1"/>
            </w:tcBorders>
            <w:shd w:fill="FFFFFF" w:val="clear"/>
            <w:tcMar>
              <w:top w:type="dxa" w:w="130"/>
              <w:left w:type="dxa" w:w="240"/>
              <w:bottom w:type="dxa" w:w="13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1C2D40"/>
                <w:sz w:val="21"/>
                <w:szCs w:val="21"/>
              </w:rPr>
              <w:t xml:space="preserve">olist_customers_dataset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A5A5A"/>
                <w:sz w:val="17"/>
                <w:szCs w:val="17"/>
              </w:rPr>
              <w:t xml:space="preserve">olist_customers_dataset.csv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 |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~99.441 clientes</w:t>
            </w:r>
          </w:p>
          <w:p>
            <w:pPr>
              <w:spacing w:before="30" w:after="30"/>
            </w:pPr>
            <w:r>
              <w:rPr>
                <w:rFonts w:ascii="Times New Roman" w:cs="Times New Roman" w:eastAsia="Times New Roman" w:hAnsi="Times New Roman"/>
                <w:color w:val="2E2E2E"/>
                <w:sz w:val="19"/>
                <w:szCs w:val="19"/>
              </w:rPr>
              <w:t xml:space="preserve">Dados geográficos dos compradores. O customer_unique_id identifica o comprador real entre pedidos distintos — essencial para taxa de recompra (Q2).</w:t>
            </w:r>
          </w:p>
          <w:p>
            <w:pPr>
              <w:spacing w:before="2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5A5A5A"/>
                <w:sz w:val="17"/>
                <w:szCs w:val="17"/>
              </w:rPr>
              <w:t xml:space="preserve">Colunas: </w:t>
            </w:r>
            <w:r>
              <w:rPr>
                <w:rFonts w:ascii="Courier New" w:cs="Courier New" w:eastAsia="Courier New" w:hAnsi="Courier New"/>
                <w:color w:val="5A5A5A"/>
                <w:sz w:val="16"/>
                <w:szCs w:val="16"/>
              </w:rPr>
              <w:t xml:space="preserve">customer_id, customer_unique_id, customer_zip_code_prefix, customer_city, customer_state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CDD4" w:sz="1"/>
              <w:left w:val="single" w:color="3A6EA5" w:sz="14"/>
              <w:bottom w:val="single" w:color="C8CDD4" w:sz="1"/>
              <w:right w:val="single" w:color="C8CDD4" w:sz="1"/>
            </w:tcBorders>
            <w:shd w:fill="FFFFFF" w:val="clear"/>
            <w:tcMar>
              <w:top w:type="dxa" w:w="130"/>
              <w:left w:type="dxa" w:w="240"/>
              <w:bottom w:type="dxa" w:w="13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1C2D40"/>
                <w:sz w:val="21"/>
                <w:szCs w:val="21"/>
              </w:rPr>
              <w:t xml:space="preserve">olist_sellers_dataset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A5A5A"/>
                <w:sz w:val="17"/>
                <w:szCs w:val="17"/>
              </w:rPr>
              <w:t xml:space="preserve">olist_sellers_dataset.csv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 |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~3.095 vendedores</w:t>
            </w:r>
          </w:p>
          <w:p>
            <w:pPr>
              <w:spacing w:before="30" w:after="30"/>
            </w:pPr>
            <w:r>
              <w:rPr>
                <w:rFonts w:ascii="Times New Roman" w:cs="Times New Roman" w:eastAsia="Times New Roman" w:hAnsi="Times New Roman"/>
                <w:color w:val="2E2E2E"/>
                <w:sz w:val="19"/>
                <w:szCs w:val="19"/>
              </w:rPr>
              <w:t xml:space="preserve">Dados dos parceiros do marketplace. Permite análise de receita por vendedor (Q9) e cruzamento logístico com localização do cliente.</w:t>
            </w:r>
          </w:p>
          <w:p>
            <w:pPr>
              <w:spacing w:before="2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5A5A5A"/>
                <w:sz w:val="17"/>
                <w:szCs w:val="17"/>
              </w:rPr>
              <w:t xml:space="preserve">Colunas: </w:t>
            </w:r>
            <w:r>
              <w:rPr>
                <w:rFonts w:ascii="Courier New" w:cs="Courier New" w:eastAsia="Courier New" w:hAnsi="Courier New"/>
                <w:color w:val="5A5A5A"/>
                <w:sz w:val="16"/>
                <w:szCs w:val="16"/>
              </w:rPr>
              <w:t xml:space="preserve">seller_id, seller_zip_code_prefix, seller_city, seller_state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CDD4" w:sz="1"/>
              <w:left w:val="single" w:color="3A6EA5" w:sz="14"/>
              <w:bottom w:val="single" w:color="C8CDD4" w:sz="1"/>
              <w:right w:val="single" w:color="C8CDD4" w:sz="1"/>
            </w:tcBorders>
            <w:shd w:fill="FFFFFF" w:val="clear"/>
            <w:tcMar>
              <w:top w:type="dxa" w:w="130"/>
              <w:left w:type="dxa" w:w="240"/>
              <w:bottom w:type="dxa" w:w="13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1C2D40"/>
                <w:sz w:val="21"/>
                <w:szCs w:val="21"/>
              </w:rPr>
              <w:t xml:space="preserve">olist_products_dataset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A5A5A"/>
                <w:sz w:val="17"/>
                <w:szCs w:val="17"/>
              </w:rPr>
              <w:t xml:space="preserve">olist_products_dataset.csv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 |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~32.951 produtos</w:t>
            </w:r>
          </w:p>
          <w:p>
            <w:pPr>
              <w:spacing w:before="30" w:after="30"/>
            </w:pPr>
            <w:r>
              <w:rPr>
                <w:rFonts w:ascii="Times New Roman" w:cs="Times New Roman" w:eastAsia="Times New Roman" w:hAnsi="Times New Roman"/>
                <w:color w:val="2E2E2E"/>
                <w:sz w:val="19"/>
                <w:szCs w:val="19"/>
              </w:rPr>
              <w:t xml:space="preserve">Catálogo de produtos com categoria e atributos físicos (peso, dimensões). Fonte para análise de receita por categoria (Q5).</w:t>
            </w:r>
          </w:p>
          <w:p>
            <w:pPr>
              <w:spacing w:before="2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5A5A5A"/>
                <w:sz w:val="17"/>
                <w:szCs w:val="17"/>
              </w:rPr>
              <w:t xml:space="preserve">Colunas: </w:t>
            </w:r>
            <w:r>
              <w:rPr>
                <w:rFonts w:ascii="Courier New" w:cs="Courier New" w:eastAsia="Courier New" w:hAnsi="Courier New"/>
                <w:color w:val="5A5A5A"/>
                <w:sz w:val="16"/>
                <w:szCs w:val="16"/>
              </w:rPr>
              <w:t xml:space="preserve">product_id, product_category_name, product_weight_g, product_length_cm, product_height_cm, product_width_cm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CDD4" w:sz="1"/>
              <w:left w:val="single" w:color="3A6EA5" w:sz="14"/>
              <w:bottom w:val="single" w:color="C8CDD4" w:sz="1"/>
              <w:right w:val="single" w:color="C8CDD4" w:sz="1"/>
            </w:tcBorders>
            <w:shd w:fill="FFFFFF" w:val="clear"/>
            <w:tcMar>
              <w:top w:type="dxa" w:w="130"/>
              <w:left w:type="dxa" w:w="240"/>
              <w:bottom w:type="dxa" w:w="13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1C2D40"/>
                <w:sz w:val="21"/>
                <w:szCs w:val="21"/>
              </w:rPr>
              <w:t xml:space="preserve">product_category_name_translation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A5A5A"/>
                <w:sz w:val="17"/>
                <w:szCs w:val="17"/>
              </w:rPr>
              <w:t xml:space="preserve">product_category_name_translation.csv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 |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~71 categorias</w:t>
            </w:r>
          </w:p>
          <w:p>
            <w:pPr>
              <w:spacing w:before="30" w:after="30"/>
            </w:pPr>
            <w:r>
              <w:rPr>
                <w:rFonts w:ascii="Times New Roman" w:cs="Times New Roman" w:eastAsia="Times New Roman" w:hAnsi="Times New Roman"/>
                <w:color w:val="2E2E2E"/>
                <w:sz w:val="19"/>
                <w:szCs w:val="19"/>
              </w:rPr>
              <w:t xml:space="preserve">Tradução dos nomes de categoria do português para o inglês. Popula a dim_categorias.</w:t>
            </w:r>
          </w:p>
          <w:p>
            <w:pPr>
              <w:spacing w:before="2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5A5A5A"/>
                <w:sz w:val="17"/>
                <w:szCs w:val="17"/>
              </w:rPr>
              <w:t xml:space="preserve">Colunas: </w:t>
            </w:r>
            <w:r>
              <w:rPr>
                <w:rFonts w:ascii="Courier New" w:cs="Courier New" w:eastAsia="Courier New" w:hAnsi="Courier New"/>
                <w:color w:val="5A5A5A"/>
                <w:sz w:val="16"/>
                <w:szCs w:val="16"/>
              </w:rPr>
              <w:t xml:space="preserve">product_category_name, product_category_name_english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CDD4" w:sz="1"/>
              <w:left w:val="single" w:color="3A6EA5" w:sz="14"/>
              <w:bottom w:val="single" w:color="C8CDD4" w:sz="1"/>
              <w:right w:val="single" w:color="C8CDD4" w:sz="1"/>
            </w:tcBorders>
            <w:shd w:fill="FFFFFF" w:val="clear"/>
            <w:tcMar>
              <w:top w:type="dxa" w:w="130"/>
              <w:left w:type="dxa" w:w="240"/>
              <w:bottom w:type="dxa" w:w="13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1C2D40"/>
                <w:sz w:val="21"/>
                <w:szCs w:val="21"/>
              </w:rPr>
              <w:t xml:space="preserve">olist_geolocation_dataset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A5A5A"/>
                <w:sz w:val="17"/>
                <w:szCs w:val="17"/>
              </w:rPr>
              <w:t xml:space="preserve">olist_geolocation_dataset.csv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 |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~1.000.163 registros</w:t>
            </w:r>
          </w:p>
          <w:p>
            <w:pPr>
              <w:spacing w:before="30" w:after="30"/>
            </w:pPr>
            <w:r>
              <w:rPr>
                <w:rFonts w:ascii="Times New Roman" w:cs="Times New Roman" w:eastAsia="Times New Roman" w:hAnsi="Times New Roman"/>
                <w:color w:val="2E2E2E"/>
                <w:sz w:val="19"/>
                <w:szCs w:val="19"/>
              </w:rPr>
              <w:t xml:space="preserve">Mapeamento de prefixos de CEP para coordenadas geográficas. Permite mapas de calor no Power BI e enriquecimento geográfico de clientes e vendedores.</w:t>
            </w:r>
          </w:p>
          <w:p>
            <w:pPr>
              <w:spacing w:before="2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5A5A5A"/>
                <w:sz w:val="17"/>
                <w:szCs w:val="17"/>
              </w:rPr>
              <w:t xml:space="preserve">Colunas: </w:t>
            </w:r>
            <w:r>
              <w:rPr>
                <w:rFonts w:ascii="Courier New" w:cs="Courier New" w:eastAsia="Courier New" w:hAnsi="Courier New"/>
                <w:color w:val="5A5A5A"/>
                <w:sz w:val="16"/>
                <w:szCs w:val="16"/>
              </w:rPr>
              <w:t xml:space="preserve">geolocation_zip_code_prefix, geolocation_lat, geolocation_lng, geolocation_city, geolocation_state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360" w:after="100"/>
      </w:pPr>
      <w:r>
        <w:rPr>
          <w:rFonts w:ascii="Times New Roman" w:cs="Times New Roman" w:eastAsia="Times New Roman" w:hAnsi="Times New Roman"/>
          <w:b/>
          <w:bCs/>
          <w:color w:val="2C4A6E"/>
          <w:sz w:val="24"/>
          <w:szCs w:val="24"/>
        </w:rPr>
        <w:t xml:space="preserve">Banco Central do Brasil — API Pública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color w:val="2E2E2E"/>
          <w:sz w:val="18"/>
          <w:szCs w:val="18"/>
        </w:rPr>
        <w:t xml:space="preserve">Acesso: </w:t>
      </w:r>
      <w:r>
        <w:rPr>
          <w:rFonts w:ascii="Times New Roman" w:cs="Times New Roman" w:eastAsia="Times New Roman" w:hAnsi="Times New Roman"/>
          <w:color w:val="3A6EA5"/>
          <w:sz w:val="18"/>
          <w:szCs w:val="18"/>
        </w:rPr>
        <w:t xml:space="preserve">https://dadosabertos.bcb.gov.br/dataset/estatisticas-pagamentos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color w:val="5A5A5A"/>
          <w:sz w:val="17"/>
          <w:szCs w:val="17"/>
        </w:rPr>
        <w:t xml:space="preserve">Formato: API REST  ·  Sem autenticação  ·  Acesso: gratuito e aberto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CDD4" w:sz="1"/>
              <w:left w:val="single" w:color="3A6EA5" w:sz="14"/>
              <w:bottom w:val="single" w:color="C8CDD4" w:sz="1"/>
              <w:right w:val="single" w:color="C8CDD4" w:sz="1"/>
            </w:tcBorders>
            <w:shd w:fill="FFFFFF" w:val="clear"/>
            <w:tcMar>
              <w:top w:type="dxa" w:w="130"/>
              <w:left w:type="dxa" w:w="240"/>
              <w:bottom w:type="dxa" w:w="13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1C2D40"/>
                <w:sz w:val="21"/>
                <w:szCs w:val="21"/>
              </w:rPr>
              <w:t xml:space="preserve">Meios de Pagamento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A5A5A"/>
                <w:sz w:val="17"/>
                <w:szCs w:val="17"/>
              </w:rPr>
              <w:t xml:space="preserve">API BCB — Série Temporal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 |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~200 registros mensais</w:t>
            </w:r>
          </w:p>
          <w:p>
            <w:pPr>
              <w:spacing w:before="30" w:after="30"/>
            </w:pPr>
            <w:r>
              <w:rPr>
                <w:rFonts w:ascii="Times New Roman" w:cs="Times New Roman" w:eastAsia="Times New Roman" w:hAnsi="Times New Roman"/>
                <w:color w:val="2E2E2E"/>
                <w:sz w:val="19"/>
                <w:szCs w:val="19"/>
              </w:rPr>
              <w:t xml:space="preserve">Volume e participação de cada meio de pagamento no Brasil (PIX, cartão, boleto, TED). Usado para comparar o perfil da Olist com o cenário nacional em Q1.</w:t>
            </w:r>
          </w:p>
          <w:p>
            <w:pPr>
              <w:spacing w:before="2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5A5A5A"/>
                <w:sz w:val="17"/>
                <w:szCs w:val="17"/>
              </w:rPr>
              <w:t xml:space="preserve">Colunas: </w:t>
            </w:r>
            <w:r>
              <w:rPr>
                <w:rFonts w:ascii="Courier New" w:cs="Courier New" w:eastAsia="Courier New" w:hAnsi="Courier New"/>
                <w:color w:val="5A5A5A"/>
                <w:sz w:val="16"/>
                <w:szCs w:val="16"/>
              </w:rPr>
              <w:t xml:space="preserve">ano_referencia, mes_referencia, meio_pagamento, qtd_transacoes, valor_total_bilhoes, participacao_pct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p>
      <w:pPr>
        <w:pBdr>
          <w:bottom w:val="single" w:color="3A6EA5" w:sz="8" w:space="6"/>
        </w:pBdr>
        <w:spacing w:before="560" w:after="80"/>
      </w:pPr>
      <w:r>
        <w:rPr>
          <w:rFonts w:ascii="Times New Roman" w:cs="Times New Roman" w:eastAsia="Times New Roman" w:hAnsi="Times New Roman"/>
          <w:b/>
          <w:bCs/>
          <w:color w:val="3A6EA5"/>
          <w:sz w:val="44"/>
          <w:szCs w:val="44"/>
        </w:rPr>
        <w:t xml:space="preserve">4  </w:t>
      </w:r>
      <w:r>
        <w:rPr>
          <w:rFonts w:ascii="Times New Roman" w:cs="Times New Roman" w:eastAsia="Times New Roman" w:hAnsi="Times New Roman"/>
          <w:b/>
          <w:bCs/>
          <w:color w:val="1C2D40"/>
          <w:sz w:val="34"/>
          <w:szCs w:val="34"/>
        </w:rPr>
        <w:t xml:space="preserve">Arquitetura — Esquema Estrela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O modelo segue o padrão Esquema Estrela, onde a tabela fato principal fica no centro e as dimensões ao redor. Cada dimensão responde a uma pergunta de contexto: </w:t>
      </w:r>
      <w:r>
        <w:rPr>
          <w:rFonts w:ascii="Times New Roman" w:cs="Times New Roman" w:eastAsia="Times New Roman" w:hAnsi="Times New Roman"/>
          <w:i/>
          <w:iCs/>
          <w:color w:val="2E2E2E"/>
          <w:sz w:val="20"/>
          <w:szCs w:val="20"/>
        </w:rPr>
        <w:t xml:space="preserve">quem</w:t>
      </w: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 comprou? </w:t>
      </w:r>
      <w:r>
        <w:rPr>
          <w:rFonts w:ascii="Times New Roman" w:cs="Times New Roman" w:eastAsia="Times New Roman" w:hAnsi="Times New Roman"/>
          <w:i/>
          <w:iCs/>
          <w:color w:val="2E2E2E"/>
          <w:sz w:val="20"/>
          <w:szCs w:val="20"/>
        </w:rPr>
        <w:t xml:space="preserve">o quê</w:t>
      </w: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? </w:t>
      </w:r>
      <w:r>
        <w:rPr>
          <w:rFonts w:ascii="Times New Roman" w:cs="Times New Roman" w:eastAsia="Times New Roman" w:hAnsi="Times New Roman"/>
          <w:i/>
          <w:iCs/>
          <w:color w:val="2E2E2E"/>
          <w:sz w:val="20"/>
          <w:szCs w:val="20"/>
        </w:rPr>
        <w:t xml:space="preserve">quando</w:t>
      </w: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? </w:t>
      </w:r>
      <w:r>
        <w:rPr>
          <w:rFonts w:ascii="Times New Roman" w:cs="Times New Roman" w:eastAsia="Times New Roman" w:hAnsi="Times New Roman"/>
          <w:i/>
          <w:iCs/>
          <w:color w:val="2E2E2E"/>
          <w:sz w:val="20"/>
          <w:szCs w:val="20"/>
        </w:rPr>
        <w:t xml:space="preserve">onde</w:t>
      </w: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? </w:t>
      </w:r>
      <w:r>
        <w:rPr>
          <w:rFonts w:ascii="Times New Roman" w:cs="Times New Roman" w:eastAsia="Times New Roman" w:hAnsi="Times New Roman"/>
          <w:i/>
          <w:iCs/>
          <w:color w:val="2E2E2E"/>
          <w:sz w:val="20"/>
          <w:szCs w:val="20"/>
        </w:rPr>
        <w:t xml:space="preserve">como</w:t>
      </w: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 pagou?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68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stg.  Área de Pouso</w:t>
            </w:r>
          </w:p>
        </w:tc>
        <w:tc>
          <w:tcPr>
            <w:tcW w:type="dxa" w:w="68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Recebe os arquivos brutos sem validação. Todos os campos chegam como texto.</w:t>
            </w:r>
          </w:p>
        </w:tc>
      </w:tr>
      <w:tr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dw.   Dimensões</w:t>
            </w:r>
          </w:p>
        </w:tc>
        <w:tc>
          <w:tcPr>
            <w:tcW w:type="dxa" w:w="68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Armazenam os atributos descritivos: quem, o quê, quando, onde, como.</w:t>
            </w:r>
          </w:p>
        </w:tc>
      </w:tr>
      <w:tr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dw.   Fato</w:t>
            </w:r>
          </w:p>
        </w:tc>
        <w:tc>
          <w:tcPr>
            <w:tcW w:type="dxa" w:w="68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Eventos de negócio com medidas numéricas e FKs para as dimensões.</w:t>
            </w:r>
          </w:p>
        </w:tc>
      </w:tr>
      <w:tr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ctrl. Controle</w:t>
            </w:r>
          </w:p>
        </w:tc>
        <w:tc>
          <w:tcPr>
            <w:tcW w:type="dxa" w:w="68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Registra cada execução do ETL: quando, quem, quantos registros, resultado.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color w:val="2E2E2E"/>
          <w:sz w:val="20"/>
          <w:szCs w:val="20"/>
        </w:rPr>
        <w:t xml:space="preserve">Fluxo de dados: </w:t>
      </w:r>
      <w:r>
        <w:rPr>
          <w:rFonts w:ascii="Courier New" w:cs="Courier New" w:eastAsia="Courier New" w:hAnsi="Courier New"/>
          <w:color w:val="2C4A6E"/>
          <w:sz w:val="18"/>
          <w:szCs w:val="18"/>
        </w:rPr>
        <w:t xml:space="preserve">CSV  →  stg.stg_orders_raw  →  Procedimentos de Carga  →  dw.dim_*  →  dw.fato_*  →  Views  →  Power BI</w:t>
      </w:r>
    </w:p>
    <w:p>
      <w:pPr>
        <w:spacing w:before="200" w:after="200"/>
      </w:pPr>
      <w:r>
        <w:t xml:space="preserve"/>
      </w:r>
    </w:p>
    <w:p>
      <w:r>
        <w:br w:type="page"/>
      </w:r>
    </w:p>
    <w:p>
      <w:pPr>
        <w:pBdr>
          <w:bottom w:val="single" w:color="3A6EA5" w:sz="8" w:space="6"/>
        </w:pBdr>
        <w:spacing w:before="560" w:after="80"/>
      </w:pPr>
      <w:r>
        <w:rPr>
          <w:rFonts w:ascii="Times New Roman" w:cs="Times New Roman" w:eastAsia="Times New Roman" w:hAnsi="Times New Roman"/>
          <w:b/>
          <w:bCs/>
          <w:color w:val="3A6EA5"/>
          <w:sz w:val="44"/>
          <w:szCs w:val="44"/>
        </w:rPr>
        <w:t xml:space="preserve">5  </w:t>
      </w:r>
      <w:r>
        <w:rPr>
          <w:rFonts w:ascii="Times New Roman" w:cs="Times New Roman" w:eastAsia="Times New Roman" w:hAnsi="Times New Roman"/>
          <w:b/>
          <w:bCs/>
          <w:color w:val="1C2D40"/>
          <w:sz w:val="34"/>
          <w:szCs w:val="34"/>
        </w:rPr>
        <w:t xml:space="preserve">Tabelas Fato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As tabelas fato registram os eventos de negócio. Cada linha é uma ocorrência real: um item vendido, um pagamento, uma avaliação. Contêm medidas numéricas e as chaves estrangeiras que as conectam às dimensões.</w:t>
      </w:r>
    </w:p>
    <w:p>
      <w:pPr>
        <w:spacing w:before="140" w:after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CDD4" w:sz="1"/>
              <w:left w:val="single" w:color="2D6A4F" w:sz="18"/>
              <w:bottom w:val="single" w:color="C8CDD4" w:sz="1"/>
              <w:right w:val="single" w:color="C8CDD4" w:sz="1"/>
            </w:tcBorders>
            <w:shd w:fill="FFFFFF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dw.</w:t>
            </w:r>
            <w:r>
              <w:rPr>
                <w:rFonts w:ascii="Courier New" w:cs="Courier New" w:eastAsia="Courier New" w:hAnsi="Courier New"/>
                <w:b/>
                <w:bCs/>
                <w:color w:val="2D6A4F"/>
                <w:sz w:val="22"/>
                <w:szCs w:val="22"/>
              </w:rPr>
              <w:t xml:space="preserve">fato_pedidos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—   </w:t>
            </w:r>
            <w:r>
              <w:rPr>
                <w:rFonts w:ascii="Times New Roman" w:cs="Times New Roman" w:eastAsia="Times New Roman" w:hAnsi="Times New Roman"/>
                <w:color w:val="5A5A5A"/>
                <w:sz w:val="18"/>
                <w:szCs w:val="18"/>
              </w:rPr>
              <w:t xml:space="preserve">Tabela Fato Principal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|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D6A4F"/>
                <w:sz w:val="18"/>
                <w:szCs w:val="18"/>
              </w:rPr>
              <w:t xml:space="preserve">200.000+ registros</w:t>
            </w:r>
          </w:p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5A5A5A"/>
                <w:sz w:val="18"/>
                <w:szCs w:val="18"/>
              </w:rPr>
              <w:t xml:space="preserve">Tabela central do DW. Granularidade: um item de pedido por linha. Concentra todas as medidas de valor, tempo e flags de negócio, além das FKs para todas as dimensões.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226"/>
      </w:tblGrid>
      <w:tr>
        <w:trPr>
          <w:tblHeader/>
        </w:trP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Tipo de Dado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 que armazena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fato_id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primária gerada automaticamente pelo SQL Server.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order_id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ID do pedido. Um pedido com três itens gera três linhas com o mesmo order_id.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order_item_seq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Sequência do item no pedido (1, 2, 3...). Junto com order_id forma a chave natural.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cliente_id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estrangeira → dim_clientes. Liga a venda ao comprador e sua localização.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vendedor_id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estrangeira → dim_vendedores. Liga o item ao parceiro que realizou a venda.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produto_id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estrangeira → dim_produtos. Liga o item ao produto e sua categoria.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pagamento_id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estrangeira → dim_forma_pagamento. Como o pedido foi pago.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status_id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estrangeira → dim_status_pedido. Estado atual do pedido.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tempo_compra_id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estrangeira → dim_tempo. Data da compra no formato YYYYMMDD.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tempo_entrega_id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estrangeira → dim_tempo. Data de entrega real. Nulo em pedidos não entregues.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motivo_cancel_id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estrangeira → dim_motivo_cancelamento. Preenchido apenas quando fl_cancelado = 1.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vlr_produto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Preço unitário do produto em reais.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vlr_frete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Valor do frete cobrado pelo item.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vlr_total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Calculado pelo ETL: vlr_produto + vlr_frete.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dias_para_entrega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Dias corridos entre a compra e a entrega real.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atraso_dias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Diferença entre prazo estimado e data real. Positivo = atraso.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fl_cancelado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BIT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1 se o pedido foi cancelado.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fl_entregue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BIT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1 se o pedido foi entregue com sucesso.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fl_atraso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BIT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1 se a entrega ocorreu após a data estimada.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dt_carga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Momento em que o registro foi inserido pelo ETL.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CDD4" w:sz="1"/>
              <w:left w:val="single" w:color="2D6A4F" w:sz="18"/>
              <w:bottom w:val="single" w:color="C8CDD4" w:sz="1"/>
              <w:right w:val="single" w:color="C8CDD4" w:sz="1"/>
            </w:tcBorders>
            <w:shd w:fill="FFFFFF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dw.</w:t>
            </w:r>
            <w:r>
              <w:rPr>
                <w:rFonts w:ascii="Courier New" w:cs="Courier New" w:eastAsia="Courier New" w:hAnsi="Courier New"/>
                <w:b/>
                <w:bCs/>
                <w:color w:val="2D6A4F"/>
                <w:sz w:val="22"/>
                <w:szCs w:val="22"/>
              </w:rPr>
              <w:t xml:space="preserve">fato_itens_pedido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—   </w:t>
            </w:r>
            <w:r>
              <w:rPr>
                <w:rFonts w:ascii="Times New Roman" w:cs="Times New Roman" w:eastAsia="Times New Roman" w:hAnsi="Times New Roman"/>
                <w:color w:val="5A5A5A"/>
                <w:sz w:val="18"/>
                <w:szCs w:val="18"/>
              </w:rPr>
              <w:t xml:space="preserve">Tabela Fato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|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D6A4F"/>
                <w:sz w:val="18"/>
                <w:szCs w:val="18"/>
              </w:rPr>
              <w:t xml:space="preserve">~115.000 registros</w:t>
            </w:r>
          </w:p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5A5A5A"/>
                <w:sz w:val="18"/>
                <w:szCs w:val="18"/>
              </w:rPr>
              <w:t xml:space="preserve">Detalha cada item de pedido com foco em produto, vendedor e preço. Base para análise de receita por categoria (Q5) e ranking de vendedores (Q9).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226"/>
      </w:tblGrid>
      <w:tr>
        <w:trPr>
          <w:tblHeader/>
        </w:trP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Tipo de Dado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 que armazena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item_id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primária técnica.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order_id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ID do pedido. Permite Relacionamento com fato_pedidos para cruzar informações de status e cliente.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order_item_seq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Sequência do item. Junto com order_id identifica o registro.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produto_id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estrangeira → dim_produtos. Coluna principal para análise por categoria.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vendedor_id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estrangeira → dim_vendedores. Soma do preço agrupada por vendedor = receita por vendedor.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tempo_compra_id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estrangeira → dim_tempo. Permite filtros por período.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preco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Preço unitário do produto. Base de todas as análises de receita.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frete_valor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Frete do item. Analisado separado da receita do produto.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data_limite_envio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DATE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Prazo máximo para postagem pelo vendedor.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CDD4" w:sz="1"/>
              <w:left w:val="single" w:color="2D6A4F" w:sz="18"/>
              <w:bottom w:val="single" w:color="C8CDD4" w:sz="1"/>
              <w:right w:val="single" w:color="C8CDD4" w:sz="1"/>
            </w:tcBorders>
            <w:shd w:fill="FFFFFF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dw.</w:t>
            </w:r>
            <w:r>
              <w:rPr>
                <w:rFonts w:ascii="Courier New" w:cs="Courier New" w:eastAsia="Courier New" w:hAnsi="Courier New"/>
                <w:b/>
                <w:bCs/>
                <w:color w:val="2D6A4F"/>
                <w:sz w:val="22"/>
                <w:szCs w:val="22"/>
              </w:rPr>
              <w:t xml:space="preserve">fato_pagamentos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—   </w:t>
            </w:r>
            <w:r>
              <w:rPr>
                <w:rFonts w:ascii="Times New Roman" w:cs="Times New Roman" w:eastAsia="Times New Roman" w:hAnsi="Times New Roman"/>
                <w:color w:val="5A5A5A"/>
                <w:sz w:val="18"/>
                <w:szCs w:val="18"/>
              </w:rPr>
              <w:t xml:space="preserve">Tabela Fato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|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D6A4F"/>
                <w:sz w:val="18"/>
                <w:szCs w:val="18"/>
              </w:rPr>
              <w:t xml:space="preserve">~103.000 registros</w:t>
            </w:r>
          </w:p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5A5A5A"/>
                <w:sz w:val="18"/>
                <w:szCs w:val="18"/>
              </w:rPr>
              <w:t xml:space="preserve">Registra cada transação de pagamento. Um pedido pode ter múltiplas linhas (cartão + voucher). Fonte principal para Q1.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226"/>
      </w:tblGrid>
      <w:tr>
        <w:trPr>
          <w:tblHeader/>
        </w:trP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Tipo de Dado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 que armazena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pgto_seq_id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primária técnica.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order_id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ID do pedido associado ao pagamento.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pagamento_seq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Sequência quando o pedido tem múltiplas formas de pagamento.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pagamento_id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estrangeira → dim_forma_pagamento. Contagem agrupada por tipo = resposta da Q1.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parcelas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Número de parcelas. 1 = à vista.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valor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Valor pago nessa transação.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CDD4" w:sz="1"/>
              <w:left w:val="single" w:color="2D6A4F" w:sz="18"/>
              <w:bottom w:val="single" w:color="C8CDD4" w:sz="1"/>
              <w:right w:val="single" w:color="C8CDD4" w:sz="1"/>
            </w:tcBorders>
            <w:shd w:fill="FFFFFF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dw.</w:t>
            </w:r>
            <w:r>
              <w:rPr>
                <w:rFonts w:ascii="Courier New" w:cs="Courier New" w:eastAsia="Courier New" w:hAnsi="Courier New"/>
                <w:b/>
                <w:bCs/>
                <w:color w:val="2D6A4F"/>
                <w:sz w:val="22"/>
                <w:szCs w:val="22"/>
              </w:rPr>
              <w:t xml:space="preserve">fato_avaliacoes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—   </w:t>
            </w:r>
            <w:r>
              <w:rPr>
                <w:rFonts w:ascii="Times New Roman" w:cs="Times New Roman" w:eastAsia="Times New Roman" w:hAnsi="Times New Roman"/>
                <w:color w:val="5A5A5A"/>
                <w:sz w:val="18"/>
                <w:szCs w:val="18"/>
              </w:rPr>
              <w:t xml:space="preserve">Tabela Fato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|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D6A4F"/>
                <w:sz w:val="18"/>
                <w:szCs w:val="18"/>
              </w:rPr>
              <w:t xml:space="preserve">~100.000 registros</w:t>
            </w:r>
          </w:p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5A5A5A"/>
                <w:sz w:val="18"/>
                <w:szCs w:val="18"/>
              </w:rPr>
              <w:t xml:space="preserve">Avaliações dos clientes após a entrega. Nota de 1 a 5 e comentário. Fonte para Q10 e correlação entre atraso e nota baixa.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226"/>
      </w:tblGrid>
      <w:tr>
        <w:trPr>
          <w:tblHeader/>
        </w:trP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Tipo de Dado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 que armazena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review_id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ID único da avaliação, chave natural vinda do CSV da Olist.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order_id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Pedido avaliado. Relacionamento com fato_pedidos conecta a nota ao produto e ao vendedor.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nota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Nota de 1 a 5. Média da nota agrupada por vendedor = satisfação por vendedor (Q10).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titulo_review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Título curto da avaliação. Pode ser nulo.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comentario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VARCHAR(MAX)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Texto completo do comentário. Campo livre.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tempo_compra_id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estrangeira → dim_tempo. Análise de satisfação ao longo do tempo.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dt_envio_pesquisa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Data em que a Olist enviou o e-mail de pesquisa.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fl_nota_negativa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BIT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1 se nota &lt;= 2. Filtro rápido de insatisfação.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p>
      <w:pPr>
        <w:pBdr>
          <w:bottom w:val="single" w:color="3A6EA5" w:sz="8" w:space="6"/>
        </w:pBdr>
        <w:spacing w:before="560" w:after="80"/>
      </w:pPr>
      <w:r>
        <w:rPr>
          <w:rFonts w:ascii="Times New Roman" w:cs="Times New Roman" w:eastAsia="Times New Roman" w:hAnsi="Times New Roman"/>
          <w:b/>
          <w:bCs/>
          <w:color w:val="3A6EA5"/>
          <w:sz w:val="44"/>
          <w:szCs w:val="44"/>
        </w:rPr>
        <w:t xml:space="preserve">6  </w:t>
      </w:r>
      <w:r>
        <w:rPr>
          <w:rFonts w:ascii="Times New Roman" w:cs="Times New Roman" w:eastAsia="Times New Roman" w:hAnsi="Times New Roman"/>
          <w:b/>
          <w:bCs/>
          <w:color w:val="1C2D40"/>
          <w:sz w:val="34"/>
          <w:szCs w:val="34"/>
        </w:rPr>
        <w:t xml:space="preserve">Tabelas Dimensão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As dimensões fornecem contexto aos eventos das tabelas fato. Cada uma responde a uma pergunta específica: quem comprou, o que foi vendido, quando, onde, como foi pago e em que estado o pedido se encontra.</w:t>
      </w:r>
    </w:p>
    <w:p>
      <w:pPr>
        <w:spacing w:before="140" w:after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CDD4" w:sz="1"/>
              <w:left w:val="single" w:color="3A6EA5" w:sz="18"/>
              <w:bottom w:val="single" w:color="C8CDD4" w:sz="1"/>
              <w:right w:val="single" w:color="C8CDD4" w:sz="1"/>
            </w:tcBorders>
            <w:shd w:fill="FFFFFF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dw.</w:t>
            </w:r>
            <w:r>
              <w:rPr>
                <w:rFonts w:ascii="Courier New" w:cs="Courier New" w:eastAsia="Courier New" w:hAnsi="Courier New"/>
                <w:b/>
                <w:bCs/>
                <w:color w:val="3A6EA5"/>
                <w:sz w:val="22"/>
                <w:szCs w:val="22"/>
              </w:rPr>
              <w:t xml:space="preserve">dim_clientes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—   </w:t>
            </w:r>
            <w:r>
              <w:rPr>
                <w:rFonts w:ascii="Times New Roman" w:cs="Times New Roman" w:eastAsia="Times New Roman" w:hAnsi="Times New Roman"/>
                <w:color w:val="5A5A5A"/>
                <w:sz w:val="18"/>
                <w:szCs w:val="18"/>
              </w:rPr>
              <w:t xml:space="preserve">Dimensão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|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~100.000 registros</w:t>
            </w:r>
          </w:p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5A5A5A"/>
                <w:sz w:val="18"/>
                <w:szCs w:val="18"/>
              </w:rPr>
              <w:t xml:space="preserve">Dados geográficos dos compradores. O customer_unique_id identifica o comprador real entre pedidos distintos — essencial para calcular taxa de recompra (Q2).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226"/>
      </w:tblGrid>
      <w:tr>
        <w:trPr>
          <w:tblHeader/>
        </w:trP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Tipo de Dado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 que armazena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cliente_id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primária. Hash por pedido, gerado pela Olist.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cliente_unique_id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ID real do comprador. O mesmo cliente pode ter vários customer_ids em pedidos diferentes.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cep_prefixo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5 primeiros dígitos do CEP. Permite relacionamento com dim_geolocalizacao.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cidade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Cidade do endereço de entrega.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CHAR(2)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UF do cliente. Principal coluna para Q3.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CDD4" w:sz="1"/>
              <w:left w:val="single" w:color="3A6EA5" w:sz="18"/>
              <w:bottom w:val="single" w:color="C8CDD4" w:sz="1"/>
              <w:right w:val="single" w:color="C8CDD4" w:sz="1"/>
            </w:tcBorders>
            <w:shd w:fill="FFFFFF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dw.</w:t>
            </w:r>
            <w:r>
              <w:rPr>
                <w:rFonts w:ascii="Courier New" w:cs="Courier New" w:eastAsia="Courier New" w:hAnsi="Courier New"/>
                <w:b/>
                <w:bCs/>
                <w:color w:val="3A6EA5"/>
                <w:sz w:val="22"/>
                <w:szCs w:val="22"/>
              </w:rPr>
              <w:t xml:space="preserve">dim_vendedores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—   </w:t>
            </w:r>
            <w:r>
              <w:rPr>
                <w:rFonts w:ascii="Times New Roman" w:cs="Times New Roman" w:eastAsia="Times New Roman" w:hAnsi="Times New Roman"/>
                <w:color w:val="5A5A5A"/>
                <w:sz w:val="18"/>
                <w:szCs w:val="18"/>
              </w:rPr>
              <w:t xml:space="preserve">Dimensão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|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~3.000 registros</w:t>
            </w:r>
          </w:p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5A5A5A"/>
                <w:sz w:val="18"/>
                <w:szCs w:val="18"/>
              </w:rPr>
              <w:t xml:space="preserve">Dados dos parceiros do marketplace. Permite análise de performance regional e ranking de receita.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226"/>
      </w:tblGrid>
      <w:tr>
        <w:trPr>
          <w:tblHeader/>
        </w:trP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Tipo de Dado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 que armazena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vendedor_id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primária. Hash anonimizado do vendedor.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cep_prefixo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Prefixo do CEP. Permite análise logística por proximidade ao cliente.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cidade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Cidade do vendedor.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CHAR(2)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UF do vendedor. Cruzado com estado do cliente para análise logística.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CDD4" w:sz="1"/>
              <w:left w:val="single" w:color="3A6EA5" w:sz="18"/>
              <w:bottom w:val="single" w:color="C8CDD4" w:sz="1"/>
              <w:right w:val="single" w:color="C8CDD4" w:sz="1"/>
            </w:tcBorders>
            <w:shd w:fill="FFFFFF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dw.</w:t>
            </w:r>
            <w:r>
              <w:rPr>
                <w:rFonts w:ascii="Courier New" w:cs="Courier New" w:eastAsia="Courier New" w:hAnsi="Courier New"/>
                <w:b/>
                <w:bCs/>
                <w:color w:val="3A6EA5"/>
                <w:sz w:val="22"/>
                <w:szCs w:val="22"/>
              </w:rPr>
              <w:t xml:space="preserve">dim_produtos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—   </w:t>
            </w:r>
            <w:r>
              <w:rPr>
                <w:rFonts w:ascii="Times New Roman" w:cs="Times New Roman" w:eastAsia="Times New Roman" w:hAnsi="Times New Roman"/>
                <w:color w:val="5A5A5A"/>
                <w:sz w:val="18"/>
                <w:szCs w:val="18"/>
              </w:rPr>
              <w:t xml:space="preserve">Dimensão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|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~33.000 registros</w:t>
            </w:r>
          </w:p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5A5A5A"/>
                <w:sz w:val="18"/>
                <w:szCs w:val="18"/>
              </w:rPr>
              <w:t xml:space="preserve">Catálogo de produtos com categoria e dimensões físicas. A coluna nome_categoria_pt foi desnormalizada aqui para evitar JOINs extras em queries simples.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226"/>
      </w:tblGrid>
      <w:tr>
        <w:trPr>
          <w:tblHeader/>
        </w:trP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Tipo de Dado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 que armazena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produto_id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primária. Hash anonimizado do produto.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categoria_id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SMALLINT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estrangeira → dim_categorias.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nome_categoria_pt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Nome da categoria em português. Desnormalizado para performance.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peso_gramas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Peso do produto. Impacta diretamente no valor do frete.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comprimento_cm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DECIMAL(8,2)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Comprimento em centímetros.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altura_cm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DECIMAL(8,2)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Altura em centímetros.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largura_cm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DECIMAL(8,2)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Largura em centímetros.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CDD4" w:sz="1"/>
              <w:left w:val="single" w:color="3A6EA5" w:sz="18"/>
              <w:bottom w:val="single" w:color="C8CDD4" w:sz="1"/>
              <w:right w:val="single" w:color="C8CDD4" w:sz="1"/>
            </w:tcBorders>
            <w:shd w:fill="FFFFFF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dw.</w:t>
            </w:r>
            <w:r>
              <w:rPr>
                <w:rFonts w:ascii="Courier New" w:cs="Courier New" w:eastAsia="Courier New" w:hAnsi="Courier New"/>
                <w:b/>
                <w:bCs/>
                <w:color w:val="3A6EA5"/>
                <w:sz w:val="22"/>
                <w:szCs w:val="22"/>
              </w:rPr>
              <w:t xml:space="preserve">dim_categorias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—   </w:t>
            </w:r>
            <w:r>
              <w:rPr>
                <w:rFonts w:ascii="Times New Roman" w:cs="Times New Roman" w:eastAsia="Times New Roman" w:hAnsi="Times New Roman"/>
                <w:color w:val="5A5A5A"/>
                <w:sz w:val="18"/>
                <w:szCs w:val="18"/>
              </w:rPr>
              <w:t xml:space="preserve">Dimensão — Domínio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|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~74 registros</w:t>
            </w:r>
          </w:p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5A5A5A"/>
                <w:sz w:val="18"/>
                <w:szCs w:val="18"/>
              </w:rPr>
              <w:t xml:space="preserve">Nomes das categorias em português e inglês. Separada de dim_produtos para evitar repetição em 33.000 linhas.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226"/>
      </w:tblGrid>
      <w:tr>
        <w:trPr>
          <w:tblHeader/>
        </w:trP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Tipo de Dado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 que armazena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categoria_id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SMALLINT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primária surrogate gerada pelo SQL Server.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nome_categoria_pt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Nome original em português, como veio do CSV.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nome_categoria_en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Tradução para inglês.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CDD4" w:sz="1"/>
              <w:left w:val="single" w:color="3A6EA5" w:sz="18"/>
              <w:bottom w:val="single" w:color="C8CDD4" w:sz="1"/>
              <w:right w:val="single" w:color="C8CDD4" w:sz="1"/>
            </w:tcBorders>
            <w:shd w:fill="FFFFFF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dw.</w:t>
            </w:r>
            <w:r>
              <w:rPr>
                <w:rFonts w:ascii="Courier New" w:cs="Courier New" w:eastAsia="Courier New" w:hAnsi="Courier New"/>
                <w:b/>
                <w:bCs/>
                <w:color w:val="3A6EA5"/>
                <w:sz w:val="22"/>
                <w:szCs w:val="22"/>
              </w:rPr>
              <w:t xml:space="preserve">dim_forma_pagamento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—   </w:t>
            </w:r>
            <w:r>
              <w:rPr>
                <w:rFonts w:ascii="Times New Roman" w:cs="Times New Roman" w:eastAsia="Times New Roman" w:hAnsi="Times New Roman"/>
                <w:color w:val="5A5A5A"/>
                <w:sz w:val="18"/>
                <w:szCs w:val="18"/>
              </w:rPr>
              <w:t xml:space="preserve">Dimensão — Domínio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|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~6 registros</w:t>
            </w:r>
          </w:p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5A5A5A"/>
                <w:sz w:val="18"/>
                <w:szCs w:val="18"/>
              </w:rPr>
              <w:t xml:space="preserve">Tipos de pagamento aceitos no marketplace. Pequena mas central — responde diretamente a Q1.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226"/>
      </w:tblGrid>
      <w:tr>
        <w:trPr>
          <w:tblHeader/>
        </w:trP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Tipo de Dado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 que armazena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pagamento_id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primária surrogate numérica pequena para JOINs eficientes.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tipo_pagamento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Código original do CSV: credit_card, boleto, voucher, debit_card, pix.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descricao_pt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Rótulo amigável em português para relatórios.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permite_parcelamento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BIT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1 para cartão de crédito, 0 para os demais meios.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CDD4" w:sz="1"/>
              <w:left w:val="single" w:color="3A6EA5" w:sz="18"/>
              <w:bottom w:val="single" w:color="C8CDD4" w:sz="1"/>
              <w:right w:val="single" w:color="C8CDD4" w:sz="1"/>
            </w:tcBorders>
            <w:shd w:fill="FFFFFF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dw.</w:t>
            </w:r>
            <w:r>
              <w:rPr>
                <w:rFonts w:ascii="Courier New" w:cs="Courier New" w:eastAsia="Courier New" w:hAnsi="Courier New"/>
                <w:b/>
                <w:bCs/>
                <w:color w:val="3A6EA5"/>
                <w:sz w:val="22"/>
                <w:szCs w:val="22"/>
              </w:rPr>
              <w:t xml:space="preserve">dim_tempo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—   </w:t>
            </w:r>
            <w:r>
              <w:rPr>
                <w:rFonts w:ascii="Times New Roman" w:cs="Times New Roman" w:eastAsia="Times New Roman" w:hAnsi="Times New Roman"/>
                <w:color w:val="5A5A5A"/>
                <w:sz w:val="18"/>
                <w:szCs w:val="18"/>
              </w:rPr>
              <w:t xml:space="preserve">Dimensão Calendário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|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~1.095 registros (2016–2018)</w:t>
            </w:r>
          </w:p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5A5A5A"/>
                <w:sz w:val="18"/>
                <w:szCs w:val="18"/>
              </w:rPr>
              <w:t xml:space="preserve">Calendário gerado por script SQL, não vindo de CSV. Cada linha é um dia do período. Permite análises temporais eficientes sem funções de data nas queries.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226"/>
      </w:tblGrid>
      <w:tr>
        <w:trPr>
          <w:tblHeader/>
        </w:trP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Tipo de Dado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 que armazena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tempo_id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primária no formato YYYYMMDD. As fatos armazenam datas neste formato para JOIN direto.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data_completa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DATE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A data real no tipo DATE do SQL Server.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ano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SMALLINT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Ano (2016, 2017, 2018). GROUP BY ano = análise anual.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trimestre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Trimestre do ano (1 a 4).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mes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Mês numérico (1 a 12). Principal coluna para Q4 e Q6.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nome_mes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Nome do mês em português para relatórios.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dia_semana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Dia da semana (1 = domingo a 7 = sábado).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eh_fim_semana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BIT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1 se sábado ou domingo. Usado para calcular dias úteis de entrega.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eh_feriado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BIT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1 se feriado nacional. Inicialmente 0, pode ser atualizado manualmente.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CDD4" w:sz="1"/>
              <w:left w:val="single" w:color="3A6EA5" w:sz="18"/>
              <w:bottom w:val="single" w:color="C8CDD4" w:sz="1"/>
              <w:right w:val="single" w:color="C8CDD4" w:sz="1"/>
            </w:tcBorders>
            <w:shd w:fill="FFFFFF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dw.</w:t>
            </w:r>
            <w:r>
              <w:rPr>
                <w:rFonts w:ascii="Courier New" w:cs="Courier New" w:eastAsia="Courier New" w:hAnsi="Courier New"/>
                <w:b/>
                <w:bCs/>
                <w:color w:val="3A6EA5"/>
                <w:sz w:val="22"/>
                <w:szCs w:val="22"/>
              </w:rPr>
              <w:t xml:space="preserve">dim_status_pedido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—   </w:t>
            </w:r>
            <w:r>
              <w:rPr>
                <w:rFonts w:ascii="Times New Roman" w:cs="Times New Roman" w:eastAsia="Times New Roman" w:hAnsi="Times New Roman"/>
                <w:color w:val="5A5A5A"/>
                <w:sz w:val="18"/>
                <w:szCs w:val="18"/>
              </w:rPr>
              <w:t xml:space="preserve">Dimensão — Domínio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|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~8 registros</w:t>
            </w:r>
          </w:p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5A5A5A"/>
                <w:sz w:val="18"/>
                <w:szCs w:val="18"/>
              </w:rPr>
              <w:t xml:space="preserve">Status possíveis de um pedido. Permite adicionar atributos de negócio sem alterar a tabela fato.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226"/>
      </w:tblGrid>
      <w:tr>
        <w:trPr>
          <w:tblHeader/>
        </w:trP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Tipo de Dado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 que armazena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status_id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primária surrogate.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codigo_status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Código original: delivered, canceled, shipped, processing, approved...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descricao_pt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Descrição em português para relatórios.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eh_status_final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BIT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1 se o status é terminal. Usado pelo Trigger de validação de transições.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eh_cancelamento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BIT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1 especificamente para cancelamentos.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CDD4" w:sz="1"/>
              <w:left w:val="single" w:color="3A6EA5" w:sz="18"/>
              <w:bottom w:val="single" w:color="C8CDD4" w:sz="1"/>
              <w:right w:val="single" w:color="C8CDD4" w:sz="1"/>
            </w:tcBorders>
            <w:shd w:fill="FFFFFF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dw.</w:t>
            </w:r>
            <w:r>
              <w:rPr>
                <w:rFonts w:ascii="Courier New" w:cs="Courier New" w:eastAsia="Courier New" w:hAnsi="Courier New"/>
                <w:b/>
                <w:bCs/>
                <w:color w:val="3A6EA5"/>
                <w:sz w:val="22"/>
                <w:szCs w:val="22"/>
              </w:rPr>
              <w:t xml:space="preserve">dim_motivo_cancelamento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—   </w:t>
            </w:r>
            <w:r>
              <w:rPr>
                <w:rFonts w:ascii="Times New Roman" w:cs="Times New Roman" w:eastAsia="Times New Roman" w:hAnsi="Times New Roman"/>
                <w:color w:val="5A5A5A"/>
                <w:sz w:val="18"/>
                <w:szCs w:val="18"/>
              </w:rPr>
              <w:t xml:space="preserve">Dimensão — Domínio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|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~7 registros</w:t>
            </w:r>
          </w:p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5A5A5A"/>
                <w:sz w:val="18"/>
                <w:szCs w:val="18"/>
              </w:rPr>
              <w:t xml:space="preserve">Motivos de cancelamento inferidos pelo ETL a partir de padrões nos dados. Não existe no CSV original. Responde Q8.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226"/>
      </w:tblGrid>
      <w:tr>
        <w:trPr>
          <w:tblHeader/>
        </w:trP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Tipo de Dado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 que armazena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motivo_id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primária surrogate.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codigo_motivo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Código interno: sem_pagamento, cancelamento_cliente, produto_indisponivel...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descricao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Descrição completa do motivo para relatórios.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CDD4" w:sz="1"/>
              <w:left w:val="single" w:color="3A6EA5" w:sz="18"/>
              <w:bottom w:val="single" w:color="C8CDD4" w:sz="1"/>
              <w:right w:val="single" w:color="C8CDD4" w:sz="1"/>
            </w:tcBorders>
            <w:shd w:fill="FFFFFF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dw.</w:t>
            </w:r>
            <w:r>
              <w:rPr>
                <w:rFonts w:ascii="Courier New" w:cs="Courier New" w:eastAsia="Courier New" w:hAnsi="Courier New"/>
                <w:b/>
                <w:bCs/>
                <w:color w:val="3A6EA5"/>
                <w:sz w:val="22"/>
                <w:szCs w:val="22"/>
              </w:rPr>
              <w:t xml:space="preserve">dim_geolocalizacao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—   </w:t>
            </w:r>
            <w:r>
              <w:rPr>
                <w:rFonts w:ascii="Times New Roman" w:cs="Times New Roman" w:eastAsia="Times New Roman" w:hAnsi="Times New Roman"/>
                <w:color w:val="5A5A5A"/>
                <w:sz w:val="18"/>
                <w:szCs w:val="18"/>
              </w:rPr>
              <w:t xml:space="preserve">Dimensão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|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~1.000.000 registros</w:t>
            </w:r>
          </w:p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5A5A5A"/>
                <w:sz w:val="18"/>
                <w:szCs w:val="18"/>
              </w:rPr>
              <w:t xml:space="preserve">Maior dimensão do projeto. Mapeia prefixos de CEP para coordenadas geográficas. Permite mapas de calor no Power BI.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226"/>
      </w:tblGrid>
      <w:tr>
        <w:trPr>
          <w:tblHeader/>
        </w:trP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Tipo de Dado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 que armazena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geo_id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primária surrogate.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cep_prefixo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5 primeiros dígitos do CEP. Coluna de relacionamento com dim_clientes e dim_vendedores.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latitude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DECIMAL(10,6)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Latitude geográfica para mapas no Power BI.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longitude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DECIMAL(10,6)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Longitude geográfica.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cidade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Cidade do CEP.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CHAR(2)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UF do CEP.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regiao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Região do Brasil calculada pelo ETL com base no estado.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CDD4" w:sz="1"/>
              <w:left w:val="single" w:color="3A6EA5" w:sz="18"/>
              <w:bottom w:val="single" w:color="C8CDD4" w:sz="1"/>
              <w:right w:val="single" w:color="C8CDD4" w:sz="1"/>
            </w:tcBorders>
            <w:shd w:fill="FFFFFF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dw.</w:t>
            </w:r>
            <w:r>
              <w:rPr>
                <w:rFonts w:ascii="Courier New" w:cs="Courier New" w:eastAsia="Courier New" w:hAnsi="Courier New"/>
                <w:b/>
                <w:bCs/>
                <w:color w:val="3A6EA5"/>
                <w:sz w:val="22"/>
                <w:szCs w:val="22"/>
              </w:rPr>
              <w:t xml:space="preserve">dim_meios_pagamento_bcb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—   </w:t>
            </w:r>
            <w:r>
              <w:rPr>
                <w:rFonts w:ascii="Times New Roman" w:cs="Times New Roman" w:eastAsia="Times New Roman" w:hAnsi="Times New Roman"/>
                <w:color w:val="5A5A5A"/>
                <w:sz w:val="18"/>
                <w:szCs w:val="18"/>
              </w:rPr>
              <w:t xml:space="preserve">Dimensão — Enriquecimento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|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~200 registros</w:t>
            </w:r>
          </w:p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5A5A5A"/>
                <w:sz w:val="18"/>
                <w:szCs w:val="18"/>
              </w:rPr>
              <w:t xml:space="preserve">Dados do Banco Central do Brasil. Sem FK com as fatos — usada para comparar o perfil da Olist com o cenário nacional em Q1.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226"/>
      </w:tblGrid>
      <w:tr>
        <w:trPr>
          <w:tblHeader/>
        </w:trP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Tipo de Dado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 que armazena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bcb_id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primária surrogate.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ano_referencia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SMALLINT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Ano dos dados.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mes_referencia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Mês de referência (1–12).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meio_pagamento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Tipo: PIX, TED, Cartão Crédito, Boleto...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qtd_transacoes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Volume de transações no Brasil naquele mês.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valor_total_bilhoes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DECIMAL(18,4)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Valor movimentado em bilhões de reais.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participacao_pct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Participação percentual no total nacional.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p>
      <w:pPr>
        <w:pBdr>
          <w:bottom w:val="single" w:color="3A6EA5" w:sz="8" w:space="6"/>
        </w:pBdr>
        <w:spacing w:before="560" w:after="80"/>
      </w:pPr>
      <w:r>
        <w:rPr>
          <w:rFonts w:ascii="Times New Roman" w:cs="Times New Roman" w:eastAsia="Times New Roman" w:hAnsi="Times New Roman"/>
          <w:b/>
          <w:bCs/>
          <w:color w:val="3A6EA5"/>
          <w:sz w:val="44"/>
          <w:szCs w:val="44"/>
        </w:rPr>
        <w:t xml:space="preserve">7  </w:t>
      </w:r>
      <w:r>
        <w:rPr>
          <w:rFonts w:ascii="Times New Roman" w:cs="Times New Roman" w:eastAsia="Times New Roman" w:hAnsi="Times New Roman"/>
          <w:b/>
          <w:bCs/>
          <w:color w:val="1C2D40"/>
          <w:sz w:val="34"/>
          <w:szCs w:val="34"/>
        </w:rPr>
        <w:t xml:space="preserve">Tabelas de Apoio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Duas tabelas que sustentam o processo ETL sem armazenar dados de negócio: a área de pouso dos CSVs e o log de auditoria.</w:t>
      </w:r>
    </w:p>
    <w:p>
      <w:pPr>
        <w:spacing w:before="140" w:after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CDD4" w:sz="1"/>
              <w:left w:val="single" w:color="7D4E1E" w:sz="18"/>
              <w:bottom w:val="single" w:color="C8CDD4" w:sz="1"/>
              <w:right w:val="single" w:color="C8CDD4" w:sz="1"/>
            </w:tcBorders>
            <w:shd w:fill="FFFFFF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stg.</w:t>
            </w:r>
            <w:r>
              <w:rPr>
                <w:rFonts w:ascii="Courier New" w:cs="Courier New" w:eastAsia="Courier New" w:hAnsi="Courier New"/>
                <w:b/>
                <w:bCs/>
                <w:color w:val="7D4E1E"/>
                <w:sz w:val="22"/>
                <w:szCs w:val="22"/>
              </w:rPr>
              <w:t xml:space="preserve">stg_orders_raw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—   </w:t>
            </w:r>
            <w:r>
              <w:rPr>
                <w:rFonts w:ascii="Times New Roman" w:cs="Times New Roman" w:eastAsia="Times New Roman" w:hAnsi="Times New Roman"/>
                <w:color w:val="5A5A5A"/>
                <w:sz w:val="18"/>
                <w:szCs w:val="18"/>
              </w:rPr>
              <w:t xml:space="preserve">Área de Pouso — Dados Brutos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|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7D4E1E"/>
                <w:sz w:val="18"/>
                <w:szCs w:val="18"/>
              </w:rPr>
              <w:t xml:space="preserve">Temporária, limpa após cada carga</w:t>
            </w:r>
          </w:p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5A5A5A"/>
                <w:sz w:val="18"/>
                <w:szCs w:val="18"/>
              </w:rPr>
              <w:t xml:space="preserve">Recebe os CSVs exatamente como foram exportados. Todos os campos chegam como VARCHAR para que nenhum dado seja rejeitado na entrada. O ETL lê daqui, valida, transforma e carrega nas tabelas definitivas.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226"/>
      </w:tblGrid>
      <w:tr>
        <w:trPr>
          <w:tblHeader/>
        </w:trP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Tipo de Dado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 que armazena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stg_id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primária técnica da staging.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order_id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ID do pedido como veio do arquivo. Pode ter duplicatas, tratadas pelo processo de carga.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ID do cliente bruto. Convertido para chave estrangeira de dim_clientes pelo processo de carga.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order_status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Status bruto: delivered, canceled... Convertido para status_id no processo de carga.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order_purchase_timestamp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Data da compra como texto. O processo de carga converte para data e depois para o formato AAAAMMDD.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order_delivered_customer_date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Data de entrega como texto. Nulo para pedidos não entregues.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order_estimated_delivery_date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Prazo estimado de entrega. Comparado com a data real para calcular atraso.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ID do produto bruto. Resolvido como FK para dim_produtos.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seller_id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ID do vendedor bruto. Resolvido como FK para dim_vendedores.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Preço como texto. O ETL faz REPLACE e CAST para DECIMAL.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freight_value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Frete como texto. Mesmo tratamento do price.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payment_type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Tipo de pagamento bruto. Mapeado para pagamento_id.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payment_value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Valor do pagamento como texto.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dt_carga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Data e hora de chegada do registro na área de pouso. Preenchido automaticamente pelo banco.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fl_processado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BIT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0 = aguardando processamento. 1 = processado com sucesso pelo processo de carga.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fl_erro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BIT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1 se houve problema durante o processamento. A mensagem de erro detalha o ocorrido.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msg_erro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Detalhe do erro. Nulo quando o processamento ocorre sem problemas.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CDD4" w:sz="1"/>
              <w:left w:val="single" w:color="4A3060" w:sz="18"/>
              <w:bottom w:val="single" w:color="C8CDD4" w:sz="1"/>
              <w:right w:val="single" w:color="C8CDD4" w:sz="1"/>
            </w:tcBorders>
            <w:shd w:fill="FFFFFF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ctrl.</w:t>
            </w:r>
            <w:r>
              <w:rPr>
                <w:rFonts w:ascii="Courier New" w:cs="Courier New" w:eastAsia="Courier New" w:hAnsi="Courier New"/>
                <w:b/>
                <w:bCs/>
                <w:color w:val="4A3060"/>
                <w:sz w:val="22"/>
                <w:szCs w:val="22"/>
              </w:rPr>
              <w:t xml:space="preserve">log_etl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—   </w:t>
            </w:r>
            <w:r>
              <w:rPr>
                <w:rFonts w:ascii="Times New Roman" w:cs="Times New Roman" w:eastAsia="Times New Roman" w:hAnsi="Times New Roman"/>
                <w:color w:val="5A5A5A"/>
                <w:sz w:val="18"/>
                <w:szCs w:val="18"/>
              </w:rPr>
              <w:t xml:space="preserve">Controle — Auditoria ETL</w:t>
            </w:r>
            <w:r>
              <w:rPr>
                <w:rFonts w:ascii="Times New Roman" w:cs="Times New Roman" w:eastAsia="Times New Roman" w:hAnsi="Times New Roman"/>
                <w:color w:val="C8CDD4"/>
                <w:sz w:val="18"/>
                <w:szCs w:val="18"/>
              </w:rPr>
              <w:t xml:space="preserve">   |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4A3060"/>
                <w:sz w:val="18"/>
                <w:szCs w:val="18"/>
              </w:rPr>
              <w:t xml:space="preserve">Cresce a cada execução</w:t>
            </w:r>
          </w:p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5A5A5A"/>
                <w:sz w:val="18"/>
                <w:szCs w:val="18"/>
              </w:rPr>
              <w:t xml:space="preserve">Registro de auditoria do processo de carga. Grava automaticamente cada execução de procedimento e gatilho: quando rodou, o que foi carregado, quantos registros, quem executou e qual foi o resultado. Não contém dados de negócio.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226"/>
      </w:tblGrid>
      <w:tr>
        <w:trPr>
          <w:tblHeader/>
        </w:trP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Tipo de Dado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 que armazena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log_id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Chave primária sequencial de cada entrada de log.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tabela_destino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Nome completo da tabela de destino que recebeu os dados. Exemplo: dw.fato_pedidos.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sp_executada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Nome do procedimento ou gatilho que gerou o registro de log.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dt_inicio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Timestamp de início da execução.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dt_fim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Data e hora de conclusão. Nulo se ainda em execução ou em caso de falha grave.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qtd_inseridos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INT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Registros efetivamente inseridos na tabela destino.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usuario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Usuário que executou o processo, capturado automaticamente pelo SQL Server.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INICIADO → SUCESSO ou ERRO. Registro permanente como INICIADO indica falha grave no servidor.</w:t>
            </w:r>
          </w:p>
        </w:tc>
      </w:tr>
      <w:tr>
        <w:tc>
          <w:tcPr>
            <w:tcW w:type="dxa" w:w="2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mensagem_erro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VARCHAR(MAX)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Mensagem detalhada do erro quando o status é ERRO. Vazio quando a execução ocorre sem problemas.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p>
      <w:pPr>
        <w:pBdr>
          <w:bottom w:val="single" w:color="3A6EA5" w:sz="8" w:space="6"/>
        </w:pBdr>
        <w:spacing w:before="560" w:after="80"/>
      </w:pPr>
      <w:r>
        <w:rPr>
          <w:rFonts w:ascii="Times New Roman" w:cs="Times New Roman" w:eastAsia="Times New Roman" w:hAnsi="Times New Roman"/>
          <w:b/>
          <w:bCs/>
          <w:color w:val="3A6EA5"/>
          <w:sz w:val="44"/>
          <w:szCs w:val="44"/>
        </w:rPr>
        <w:t xml:space="preserve">8  </w:t>
      </w:r>
      <w:r>
        <w:rPr>
          <w:rFonts w:ascii="Times New Roman" w:cs="Times New Roman" w:eastAsia="Times New Roman" w:hAnsi="Times New Roman"/>
          <w:b/>
          <w:bCs/>
          <w:color w:val="1C2D40"/>
          <w:sz w:val="34"/>
          <w:szCs w:val="34"/>
        </w:rPr>
        <w:t xml:space="preserve">Tipos de Dados Utilizados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Cada coluna do banco foi definida com um tipo de dado específico do SQL Server. A escolha do tipo afeta diretamente o espaço em disco, a performance das queries e o que pode ser armazenado. Abaixo estão explicados todos os tipos usados no projeto.</w:t>
      </w:r>
    </w:p>
    <w:p>
      <w:pPr>
        <w:spacing w:before="140" w:after="140"/>
      </w:pPr>
      <w:r>
        <w:t xml:space="preserve"/>
      </w:r>
    </w:p>
    <w:p>
      <w:pPr>
        <w:spacing w:before="360" w:after="100"/>
      </w:pPr>
      <w:r>
        <w:rPr>
          <w:rFonts w:ascii="Times New Roman" w:cs="Times New Roman" w:eastAsia="Times New Roman" w:hAnsi="Times New Roman"/>
          <w:b/>
          <w:bCs/>
          <w:color w:val="2C4A6E"/>
          <w:sz w:val="24"/>
          <w:szCs w:val="24"/>
        </w:rPr>
        <w:t xml:space="preserve">Tipos Numéricos Inteiros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4426"/>
      </w:tblGrid>
      <w:tr>
        <w:tc>
          <w:tcPr>
            <w:tcW w:type="dxa" w:w="1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Tamanho</w:t>
            </w:r>
          </w:p>
        </w:tc>
        <w:tc>
          <w:tcPr>
            <w:tcW w:type="dxa" w:w="1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Intervalo</w:t>
            </w:r>
          </w:p>
        </w:tc>
        <w:tc>
          <w:tcPr>
            <w:tcW w:type="dxa" w:w="4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Onde é usado no projeto</w:t>
            </w:r>
          </w:p>
        </w:tc>
      </w:tr>
      <w:tr>
        <w:tc>
          <w:tcPr>
            <w:tcW w:type="dxa" w:w="1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TINYINT</w:t>
            </w:r>
          </w:p>
        </w:tc>
        <w:tc>
          <w:tcPr>
            <w:tcW w:type="dxa" w:w="1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1 byte</w:t>
            </w:r>
          </w:p>
        </w:tc>
        <w:tc>
          <w:tcPr>
            <w:tcW w:type="dxa" w:w="1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0 a 255</w:t>
            </w:r>
          </w:p>
        </w:tc>
        <w:tc>
          <w:tcPr>
            <w:tcW w:type="dxa" w:w="4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IDs de domínio pequenos: pagamento_id, status_id, motivo_id, sequências, notas de avaliação (1–5)</w:t>
            </w:r>
          </w:p>
        </w:tc>
      </w:tr>
      <w:tr>
        <w:tc>
          <w:tcPr>
            <w:tcW w:type="dxa" w:w="1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2 bytes</w:t>
            </w:r>
          </w:p>
        </w:tc>
        <w:tc>
          <w:tcPr>
            <w:tcW w:type="dxa" w:w="1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–32.768 a 32.767</w:t>
            </w:r>
          </w:p>
        </w:tc>
        <w:tc>
          <w:tcPr>
            <w:tcW w:type="dxa" w:w="4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categoria_id, ano na dim_tempo, campos de ano em geral</w:t>
            </w:r>
          </w:p>
        </w:tc>
      </w:tr>
      <w:tr>
        <w:tc>
          <w:tcPr>
            <w:tcW w:type="dxa" w:w="1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4 bytes</w:t>
            </w:r>
          </w:p>
        </w:tc>
        <w:tc>
          <w:tcPr>
            <w:tcW w:type="dxa" w:w="1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–2 bi a +2 bi</w:t>
            </w:r>
          </w:p>
        </w:tc>
        <w:tc>
          <w:tcPr>
            <w:tcW w:type="dxa" w:w="4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tempo_id (formato YYYYMMDD), geo_id, log_id, qtd_inseridos no log_etl</w:t>
            </w:r>
          </w:p>
        </w:tc>
      </w:tr>
      <w:tr>
        <w:tc>
          <w:tcPr>
            <w:tcW w:type="dxa" w:w="1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8 bytes</w:t>
            </w:r>
          </w:p>
        </w:tc>
        <w:tc>
          <w:tcPr>
            <w:tcW w:type="dxa" w:w="1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–9 qua a +9 qua</w:t>
            </w:r>
          </w:p>
        </w:tc>
        <w:tc>
          <w:tcPr>
            <w:tcW w:type="dxa" w:w="4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fato_id, item_id, pgto_seq_id — chaves primárias das tabelas fato com volume alto. qtd_transacoes na dim BCB</w:t>
            </w:r>
          </w:p>
        </w:tc>
      </w:tr>
    </w:tbl>
    <w:p>
      <w:pPr>
        <w:spacing w:before="140" w:after="140"/>
      </w:pPr>
      <w:r>
        <w:t xml:space="preserve"/>
      </w:r>
    </w:p>
    <w:p>
      <w:pPr>
        <w:spacing w:before="360" w:after="100"/>
      </w:pPr>
      <w:r>
        <w:rPr>
          <w:rFonts w:ascii="Times New Roman" w:cs="Times New Roman" w:eastAsia="Times New Roman" w:hAnsi="Times New Roman"/>
          <w:b/>
          <w:bCs/>
          <w:color w:val="2C4A6E"/>
          <w:sz w:val="24"/>
          <w:szCs w:val="24"/>
        </w:rPr>
        <w:t xml:space="preserve">Tipos Numéricos Decimais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Precisão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Onde é usado no projeto</w:t>
            </w:r>
          </w:p>
        </w:tc>
      </w:tr>
      <w:tr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10 dígitos, 2 casas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vlr_produto, vlr_frete, vlr_total, preco, frete_valor, valor (pagamentos) — todos os valores monetários em reais</w:t>
            </w:r>
          </w:p>
        </w:tc>
      </w:tr>
      <w:tr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DECIMAL(8,2)</w:t>
            </w:r>
          </w:p>
        </w:tc>
        <w:tc>
          <w:tcPr>
            <w:tcW w:type="dxa" w:w="2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8 dígitos, 2 casas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comprimento_cm, altura_cm, largura_cm — dimensões físicas dos produtos</w:t>
            </w:r>
          </w:p>
        </w:tc>
      </w:tr>
      <w:tr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DECIMAL(10,6)</w:t>
            </w:r>
          </w:p>
        </w:tc>
        <w:tc>
          <w:tcPr>
            <w:tcW w:type="dxa" w:w="2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10 dígitos, 6 casas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latitude e longitude na dim_geolocalizacao — precisão necessária para mapas</w:t>
            </w:r>
          </w:p>
        </w:tc>
      </w:tr>
      <w:tr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18 dígitos, 4 casas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valor_total_bilhoes na dim BCB — valores de grande magnitude com precisão decimal</w:t>
            </w:r>
          </w:p>
        </w:tc>
      </w:tr>
      <w:tr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2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5 dígitos, 2 casas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participacao_pct na dim BCB — percentuais de 0,00 a 100,00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color w:val="2C4A6E"/>
          <w:sz w:val="20"/>
          <w:szCs w:val="20"/>
        </w:rPr>
        <w:t xml:space="preserve">Por que DECIMAL e não ponto flutuante?? </w:t>
      </w: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O tipo de ponto flutuante é aproximado — pode introduzir erros de arredondamento em operações financeiras. O DECIMAL é exato, o que é obrigatório para valores monetários.</w:t>
      </w:r>
    </w:p>
    <w:p>
      <w:pPr>
        <w:spacing w:before="140" w:after="140"/>
      </w:pPr>
      <w:r>
        <w:t xml:space="preserve"/>
      </w:r>
    </w:p>
    <w:p>
      <w:pPr>
        <w:spacing w:before="360" w:after="100"/>
      </w:pPr>
      <w:r>
        <w:rPr>
          <w:rFonts w:ascii="Times New Roman" w:cs="Times New Roman" w:eastAsia="Times New Roman" w:hAnsi="Times New Roman"/>
          <w:b/>
          <w:bCs/>
          <w:color w:val="2C4A6E"/>
          <w:sz w:val="24"/>
          <w:szCs w:val="24"/>
        </w:rPr>
        <w:t xml:space="preserve">Tipos de Texto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Onde é usado no projeto</w:t>
            </w:r>
          </w:p>
        </w:tc>
      </w:tr>
      <w:tr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VARCHAR(n)</w:t>
            </w:r>
          </w:p>
        </w:tc>
        <w:tc>
          <w:tcPr>
            <w:tcW w:type="dxa" w:w="2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Tamanho variável até n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Maioria das colunas de texto: IDs dos CSVs (50), nomes de cidades e categorias (100), mensagens de erro (500), códigos de status (30). Ocupa só o espaço necessário.</w:t>
            </w:r>
          </w:p>
        </w:tc>
      </w:tr>
      <w:tr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CHAR(2)</w:t>
            </w:r>
          </w:p>
        </w:tc>
        <w:tc>
          <w:tcPr>
            <w:tcW w:type="dxa" w:w="2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Tamanho fixo 2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estado — sempre dois caracteres (SP, RJ, MG). Fixo é mais eficiente quando o tamanho nunca varia.</w:t>
            </w:r>
          </w:p>
        </w:tc>
      </w:tr>
      <w:tr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VARCHAR(MAX)</w:t>
            </w:r>
          </w:p>
        </w:tc>
        <w:tc>
          <w:tcPr>
            <w:tcW w:type="dxa" w:w="2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Até 2 GB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comentario na fato_avaliacoes e mensagem_erro no log_etl — textos de tamanho imprevisível.</w:t>
            </w:r>
          </w:p>
        </w:tc>
      </w:tr>
    </w:tbl>
    <w:p>
      <w:pPr>
        <w:spacing w:before="140" w:after="140"/>
      </w:pPr>
      <w:r>
        <w:t xml:space="preserve"/>
      </w:r>
    </w:p>
    <w:p>
      <w:pPr>
        <w:spacing w:before="360" w:after="100"/>
      </w:pPr>
      <w:r>
        <w:rPr>
          <w:rFonts w:ascii="Times New Roman" w:cs="Times New Roman" w:eastAsia="Times New Roman" w:hAnsi="Times New Roman"/>
          <w:b/>
          <w:bCs/>
          <w:color w:val="2C4A6E"/>
          <w:sz w:val="24"/>
          <w:szCs w:val="24"/>
        </w:rPr>
        <w:t xml:space="preserve">Tipos de Data e Hora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Precisão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Onde é usado no projeto</w:t>
            </w:r>
          </w:p>
        </w:tc>
      </w:tr>
      <w:tr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Somente data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data_completa na dim_tempo e data_limite_envio na fato_itens — quando o horário não importa.</w:t>
            </w:r>
          </w:p>
        </w:tc>
      </w:tr>
      <w:tr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Data + hora (ms)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dt_carga em todas as tabelas, dt_inicio e dt_fim no log_etl, dt_envio_pesquisa na fato_avaliacoes — quando o horário exato é relevante para auditoria.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color w:val="2C4A6E"/>
          <w:sz w:val="20"/>
          <w:szCs w:val="20"/>
        </w:rPr>
        <w:t xml:space="preserve">Por que as datas nas tabelas fato são números inteiros e não datas?? </w:t>
      </w: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As chaves estrangeiras para dim_tempo usam o formato AAAAMMDD como número inteiro (exemplo: 20171015) porque a comparação entre inteiros é mais rápida que entre datas, e permite filtros diretos por ano e mês sem conversão: WHERE tempo_compra_id BETWEEN 20170101 AND 20171231.</w:t>
      </w:r>
    </w:p>
    <w:p>
      <w:pPr>
        <w:spacing w:before="140" w:after="140"/>
      </w:pPr>
      <w:r>
        <w:t xml:space="preserve"/>
      </w:r>
    </w:p>
    <w:p>
      <w:pPr>
        <w:spacing w:before="360" w:after="100"/>
      </w:pPr>
      <w:r>
        <w:rPr>
          <w:rFonts w:ascii="Times New Roman" w:cs="Times New Roman" w:eastAsia="Times New Roman" w:hAnsi="Times New Roman"/>
          <w:b/>
          <w:bCs/>
          <w:color w:val="2C4A6E"/>
          <w:sz w:val="24"/>
          <w:szCs w:val="24"/>
        </w:rPr>
        <w:t xml:space="preserve">Tipo Lógico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Valores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Onde é usado no projeto</w:t>
            </w:r>
          </w:p>
        </w:tc>
      </w:tr>
      <w:tr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BIT</w:t>
            </w:r>
          </w:p>
        </w:tc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0 ou 1</w:t>
            </w:r>
          </w:p>
        </w:tc>
        <w:tc>
          <w:tcPr>
            <w:tcW w:type="dxa" w:w="5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Todas as flags: fl_cancelado, fl_entregue, fl_atraso, fl_avaliado, fl_nota_negativa, fl_processado, fl_erro, eh_fim_semana, eh_feriado, eh_cancelamento, permite_parcelamento.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O tipo BIT ocupa apenas 1 bit de armazenamento. Marcadores BIT são muito mais eficientes que texto ('S'/'N') e permitem filtros rápidos nas tabelas fato sem relacionamentos adicionais.</w:t>
      </w:r>
    </w:p>
    <w:p>
      <w:pPr>
        <w:spacing w:before="200" w:after="200"/>
      </w:pPr>
      <w:r>
        <w:t xml:space="preserve"/>
      </w:r>
    </w:p>
    <w:p>
      <w:r>
        <w:br w:type="page"/>
      </w:r>
    </w:p>
    <w:p>
      <w:pPr>
        <w:pBdr>
          <w:bottom w:val="single" w:color="3A6EA5" w:sz="8" w:space="6"/>
        </w:pBdr>
        <w:spacing w:before="560" w:after="80"/>
      </w:pPr>
      <w:r>
        <w:rPr>
          <w:rFonts w:ascii="Times New Roman" w:cs="Times New Roman" w:eastAsia="Times New Roman" w:hAnsi="Times New Roman"/>
          <w:b/>
          <w:bCs/>
          <w:color w:val="3A6EA5"/>
          <w:sz w:val="44"/>
          <w:szCs w:val="44"/>
        </w:rPr>
        <w:t xml:space="preserve">9  </w:t>
      </w:r>
      <w:r>
        <w:rPr>
          <w:rFonts w:ascii="Times New Roman" w:cs="Times New Roman" w:eastAsia="Times New Roman" w:hAnsi="Times New Roman"/>
          <w:b/>
          <w:bCs/>
          <w:color w:val="1C2D40"/>
          <w:sz w:val="34"/>
          <w:szCs w:val="34"/>
        </w:rPr>
        <w:t xml:space="preserve">Objetos T-SQL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Além das tabelas, o banco contém objetos programáveis que automatizam a carga de dados, garantem a integridade das informações e facilitam o consumo pelo Power BI.</w:t>
      </w:r>
    </w:p>
    <w:p>
      <w:pPr>
        <w:spacing w:before="140" w:after="140"/>
      </w:pPr>
      <w:r>
        <w:t xml:space="preserve"/>
      </w:r>
    </w:p>
    <w:p>
      <w:pPr>
        <w:spacing w:before="360" w:after="100"/>
      </w:pPr>
      <w:r>
        <w:rPr>
          <w:rFonts w:ascii="Times New Roman" w:cs="Times New Roman" w:eastAsia="Times New Roman" w:hAnsi="Times New Roman"/>
          <w:b/>
          <w:bCs/>
          <w:color w:val="2C4A6E"/>
          <w:sz w:val="24"/>
          <w:szCs w:val="24"/>
        </w:rPr>
        <w:t xml:space="preserve">Visões (Views)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Visão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 que entrega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vw_pedidos_completos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Relacionamento central com todas as dimensões. Base para Q1 e Q3. Principal fonte do Power BI.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vw_receita_por_categoria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Receita agregada por categoria de produto. Responde Q5 diretamente.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vw_vendas_por_mes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Volume de vendas e receita por ano e mês. Base para Q4 (sazonalidade) e Q6 (crescimento mensal).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vw_satisfacao_clientes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Média de notas por vendedor, categoria e período. Responde Q10.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vw_status_entregas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Tempo médio de entrega e cancelamentos por estado. Responde Q7 e Q8.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360" w:after="100"/>
      </w:pPr>
      <w:r>
        <w:rPr>
          <w:rFonts w:ascii="Times New Roman" w:cs="Times New Roman" w:eastAsia="Times New Roman" w:hAnsi="Times New Roman"/>
          <w:b/>
          <w:bCs/>
          <w:color w:val="2C4A6E"/>
          <w:sz w:val="24"/>
          <w:szCs w:val="24"/>
        </w:rPr>
        <w:t xml:space="preserve">Procedimentos Armazenados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5126"/>
      </w:tblGrid>
      <w:tr>
        <w:tc>
          <w:tcPr>
            <w:tcW w:type="dxa" w:w="2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Procedimento</w:t>
            </w:r>
          </w:p>
        </w:tc>
        <w:tc>
          <w:tcPr>
            <w:tcW w:type="dxa" w:w="1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1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sp_seed_dimensoes</w:t>
            </w:r>
          </w:p>
        </w:tc>
        <w:tc>
          <w:tcPr>
            <w:tcW w:type="dxa" w:w="1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2D40"/>
                <w:sz w:val="18"/>
                <w:szCs w:val="18"/>
              </w:rPr>
              <w:t xml:space="preserve">Carga</w:t>
            </w:r>
          </w:p>
        </w:tc>
        <w:tc>
          <w:tcPr>
            <w:tcW w:type="dxa" w:w="51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Popula dimensões estáticas via MERGE: status, motivo, forma de pagamento.</w:t>
            </w:r>
          </w:p>
        </w:tc>
      </w:tr>
      <w:tr>
        <w:tc>
          <w:tcPr>
            <w:tcW w:type="dxa" w:w="2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sp_gerar_dim_tempo</w:t>
            </w:r>
          </w:p>
        </w:tc>
        <w:tc>
          <w:tcPr>
            <w:tcW w:type="dxa" w:w="1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2D40"/>
                <w:sz w:val="18"/>
                <w:szCs w:val="18"/>
              </w:rPr>
              <w:t xml:space="preserve">Carga</w:t>
            </w:r>
          </w:p>
        </w:tc>
        <w:tc>
          <w:tcPr>
            <w:tcW w:type="dxa" w:w="51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Gera o calendário 2016–2018 com loop. Preenche todos os atributos de data.</w:t>
            </w:r>
          </w:p>
        </w:tc>
      </w:tr>
      <w:tr>
        <w:tc>
          <w:tcPr>
            <w:tcW w:type="dxa" w:w="2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sp_carga_dim_clientes</w:t>
            </w:r>
          </w:p>
        </w:tc>
        <w:tc>
          <w:tcPr>
            <w:tcW w:type="dxa" w:w="1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2D40"/>
                <w:sz w:val="18"/>
                <w:szCs w:val="18"/>
              </w:rPr>
              <w:t xml:space="preserve">Carga</w:t>
            </w:r>
          </w:p>
        </w:tc>
        <w:tc>
          <w:tcPr>
            <w:tcW w:type="dxa" w:w="51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Carrega dim_clientes com atualização no estilo substituição direta. Evita duplicatas automaticamente.</w:t>
            </w:r>
          </w:p>
        </w:tc>
      </w:tr>
      <w:tr>
        <w:tc>
          <w:tcPr>
            <w:tcW w:type="dxa" w:w="2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sp_carga_fato_pedidos</w:t>
            </w:r>
          </w:p>
        </w:tc>
        <w:tc>
          <w:tcPr>
            <w:tcW w:type="dxa" w:w="1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2D40"/>
                <w:sz w:val="18"/>
                <w:szCs w:val="18"/>
              </w:rPr>
              <w:t xml:space="preserve">Carga</w:t>
            </w:r>
          </w:p>
        </w:tc>
        <w:tc>
          <w:tcPr>
            <w:tcW w:type="dxa" w:w="51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Procedimento principal de carga. Lê a área de pouso, resolve chaves estrangeiras, calcula colunas derivadas e gerencia transações.</w:t>
            </w:r>
          </w:p>
        </w:tc>
      </w:tr>
      <w:tr>
        <w:tc>
          <w:tcPr>
            <w:tcW w:type="dxa" w:w="2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sp_inserir_avaliacao</w:t>
            </w:r>
          </w:p>
        </w:tc>
        <w:tc>
          <w:tcPr>
            <w:tcW w:type="dxa" w:w="1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6A4F"/>
                <w:sz w:val="18"/>
                <w:szCs w:val="18"/>
              </w:rPr>
              <w:t xml:space="preserve">Escrita</w:t>
            </w:r>
          </w:p>
        </w:tc>
        <w:tc>
          <w:tcPr>
            <w:tcW w:type="dxa" w:w="51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Insere avaliações com validação de nota (1–5) e controle de duplicidade.</w:t>
            </w:r>
          </w:p>
        </w:tc>
      </w:tr>
      <w:tr>
        <w:tc>
          <w:tcPr>
            <w:tcW w:type="dxa" w:w="2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sp_relatorio_vendedores</w:t>
            </w:r>
          </w:p>
        </w:tc>
        <w:tc>
          <w:tcPr>
            <w:tcW w:type="dxa" w:w="1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A3060"/>
                <w:sz w:val="18"/>
                <w:szCs w:val="18"/>
              </w:rPr>
              <w:t xml:space="preserve">Analítica</w:t>
            </w:r>
          </w:p>
        </w:tc>
        <w:tc>
          <w:tcPr>
            <w:tcW w:type="dxa" w:w="51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Ranking de vendedores. Parâmetros: @data_inicio, @data_fim, @top_n. Responde Q9.</w:t>
            </w:r>
          </w:p>
        </w:tc>
      </w:tr>
      <w:tr>
        <w:tc>
          <w:tcPr>
            <w:tcW w:type="dxa" w:w="2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sp_analise_recompra</w:t>
            </w:r>
          </w:p>
        </w:tc>
        <w:tc>
          <w:tcPr>
            <w:tcW w:type="dxa" w:w="1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A3060"/>
                <w:sz w:val="18"/>
                <w:szCs w:val="18"/>
              </w:rPr>
              <w:t xml:space="preserve">Analítica</w:t>
            </w:r>
          </w:p>
        </w:tc>
        <w:tc>
          <w:tcPr>
            <w:tcW w:type="dxa" w:w="51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Calcula taxa de recompra por cliente_unique_id usando CTE. Responde Q2.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360" w:after="100"/>
      </w:pPr>
      <w:r>
        <w:rPr>
          <w:rFonts w:ascii="Times New Roman" w:cs="Times New Roman" w:eastAsia="Times New Roman" w:hAnsi="Times New Roman"/>
          <w:b/>
          <w:bCs/>
          <w:color w:val="2C4A6E"/>
          <w:sz w:val="24"/>
          <w:szCs w:val="24"/>
        </w:rPr>
        <w:t xml:space="preserve">Funções e Gatilhos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5126"/>
      </w:tblGrid>
      <w:tr>
        <w:tc>
          <w:tcPr>
            <w:tcW w:type="dxa" w:w="2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Objeto</w:t>
            </w:r>
          </w:p>
        </w:tc>
        <w:tc>
          <w:tcPr>
            <w:tcW w:type="dxa" w:w="1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1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fn_calcular_mom</w:t>
            </w:r>
          </w:p>
        </w:tc>
        <w:tc>
          <w:tcPr>
            <w:tcW w:type="dxa" w:w="1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2D40"/>
                <w:sz w:val="18"/>
                <w:szCs w:val="18"/>
              </w:rPr>
              <w:t xml:space="preserve">Função</w:t>
            </w:r>
          </w:p>
        </w:tc>
        <w:tc>
          <w:tcPr>
            <w:tcW w:type="dxa" w:w="51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Recebe @ano e @mes, retorna crescimento percentual em relação ao mês anterior.</w:t>
            </w:r>
          </w:p>
        </w:tc>
      </w:tr>
      <w:tr>
        <w:tc>
          <w:tcPr>
            <w:tcW w:type="dxa" w:w="2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fn_tempo_entrega_dias</w:t>
            </w:r>
          </w:p>
        </w:tc>
        <w:tc>
          <w:tcPr>
            <w:tcW w:type="dxa" w:w="1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2D40"/>
                <w:sz w:val="18"/>
                <w:szCs w:val="18"/>
              </w:rPr>
              <w:t xml:space="preserve">Função</w:t>
            </w:r>
          </w:p>
        </w:tc>
        <w:tc>
          <w:tcPr>
            <w:tcW w:type="dxa" w:w="51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Conta dias úteis entre compra e entrega consultando dim_tempo.</w:t>
            </w:r>
          </w:p>
        </w:tc>
      </w:tr>
      <w:tr>
        <w:tc>
          <w:tcPr>
            <w:tcW w:type="dxa" w:w="2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trg_log_carga_fato</w:t>
            </w:r>
          </w:p>
        </w:tc>
        <w:tc>
          <w:tcPr>
            <w:tcW w:type="dxa" w:w="1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D4E1E"/>
                <w:sz w:val="18"/>
                <w:szCs w:val="18"/>
              </w:rPr>
              <w:t xml:space="preserve">Gatilho</w:t>
            </w:r>
          </w:p>
        </w:tc>
        <w:tc>
          <w:tcPr>
            <w:tcW w:type="dxa" w:w="51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Disparado após inserção em fato_pedidos. Registra automaticamente no log de auditoria.</w:t>
            </w:r>
          </w:p>
        </w:tc>
      </w:tr>
      <w:tr>
        <w:tc>
          <w:tcPr>
            <w:tcW w:type="dxa" w:w="2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trg_valida_status_pedido</w:t>
            </w:r>
          </w:p>
        </w:tc>
        <w:tc>
          <w:tcPr>
            <w:tcW w:type="dxa" w:w="1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D4E1E"/>
                <w:sz w:val="18"/>
                <w:szCs w:val="18"/>
              </w:rPr>
              <w:t xml:space="preserve">Gatilho</w:t>
            </w:r>
          </w:p>
        </w:tc>
        <w:tc>
          <w:tcPr>
            <w:tcW w:type="dxa" w:w="51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Disparado após atualização. Bloqueia mudanças de status em pedidos já finalizados.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p>
      <w:pPr>
        <w:pBdr>
          <w:bottom w:val="single" w:color="3A6EA5" w:sz="8" w:space="6"/>
        </w:pBdr>
        <w:spacing w:before="560" w:after="80"/>
      </w:pPr>
      <w:r>
        <w:rPr>
          <w:rFonts w:ascii="Times New Roman" w:cs="Times New Roman" w:eastAsia="Times New Roman" w:hAnsi="Times New Roman"/>
          <w:b/>
          <w:bCs/>
          <w:color w:val="3A6EA5"/>
          <w:sz w:val="44"/>
          <w:szCs w:val="44"/>
        </w:rPr>
        <w:t xml:space="preserve">10  </w:t>
      </w:r>
      <w:r>
        <w:rPr>
          <w:rFonts w:ascii="Times New Roman" w:cs="Times New Roman" w:eastAsia="Times New Roman" w:hAnsi="Times New Roman"/>
          <w:b/>
          <w:bCs/>
          <w:color w:val="1C2D40"/>
          <w:sz w:val="34"/>
          <w:szCs w:val="34"/>
        </w:rPr>
        <w:t xml:space="preserve">Camada de Visualização — Power BI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O Power BI conecta-se ao SQL Server e consome as visões e procedimentos analíticos. Nenhuma transformação ocorre no Power BI — os dados chegam prontos do banco.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Relatório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Origem no SQL Server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C2D40"/>
                <w:sz w:val="18"/>
                <w:szCs w:val="18"/>
              </w:rPr>
              <w:t xml:space="preserve">Formas de Pagamento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fato_pagamentos + dim_forma_pagamento + dim_meios_pagamento_bcb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C2D40"/>
                <w:sz w:val="18"/>
                <w:szCs w:val="18"/>
              </w:rPr>
              <w:t xml:space="preserve">Taxa de Recompra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sp_analise_recompra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C2D40"/>
                <w:sz w:val="18"/>
                <w:szCs w:val="18"/>
              </w:rPr>
              <w:t xml:space="preserve">Clientes por Estado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vw_pedidos_completos + dim_geolocalizacao (mapa)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C2D40"/>
                <w:sz w:val="18"/>
                <w:szCs w:val="18"/>
              </w:rPr>
              <w:t xml:space="preserve">Sazonalidade de Vendas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vw_vendas_por_mes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C2D40"/>
                <w:sz w:val="18"/>
                <w:szCs w:val="18"/>
              </w:rPr>
              <w:t xml:space="preserve">Receita por Categoria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vw_receita_por_categoria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C2D40"/>
                <w:sz w:val="18"/>
                <w:szCs w:val="18"/>
              </w:rPr>
              <w:t xml:space="preserve">Crescimento Mês a Mês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fn_calcular_mom via vw_vendas_por_mes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C2D40"/>
                <w:sz w:val="18"/>
                <w:szCs w:val="18"/>
              </w:rPr>
              <w:t xml:space="preserve">Tempo Médio de Entrega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vw_status_entregas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C2D40"/>
                <w:sz w:val="18"/>
                <w:szCs w:val="18"/>
              </w:rPr>
              <w:t xml:space="preserve">Motivos de Cancelamento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vw_status_entregas + dim_motivo_cancelamento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C2D40"/>
                <w:sz w:val="18"/>
                <w:szCs w:val="18"/>
              </w:rPr>
              <w:t xml:space="preserve">Ranking de Vendedores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sp_relatorio_vendedores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C2D40"/>
                <w:sz w:val="18"/>
                <w:szCs w:val="18"/>
              </w:rPr>
              <w:t xml:space="preserve">Satisfação de Clientes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vw_satisfacao_clientes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p>
      <w:pPr>
        <w:pBdr>
          <w:bottom w:val="single" w:color="3A6EA5" w:sz="8" w:space="6"/>
        </w:pBdr>
        <w:spacing w:before="560" w:after="80"/>
      </w:pPr>
      <w:r>
        <w:rPr>
          <w:rFonts w:ascii="Times New Roman" w:cs="Times New Roman" w:eastAsia="Times New Roman" w:hAnsi="Times New Roman"/>
          <w:b/>
          <w:bCs/>
          <w:color w:val="3A6EA5"/>
          <w:sz w:val="44"/>
          <w:szCs w:val="44"/>
        </w:rPr>
        <w:t xml:space="preserve">11  </w:t>
      </w:r>
      <w:r>
        <w:rPr>
          <w:rFonts w:ascii="Times New Roman" w:cs="Times New Roman" w:eastAsia="Times New Roman" w:hAnsi="Times New Roman"/>
          <w:b/>
          <w:bCs/>
          <w:color w:val="1C2D40"/>
          <w:sz w:val="34"/>
          <w:szCs w:val="34"/>
        </w:rPr>
        <w:t xml:space="preserve">Perguntas de Negócio Respondidas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color w:val="2E2E2E"/>
          <w:sz w:val="20"/>
          <w:szCs w:val="20"/>
        </w:rPr>
        <w:t xml:space="preserve">Cada pergunta tem uma fonte de dados definida no banco e um visual correspondente no Power BI.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526"/>
        <w:gridCol w:w="2200"/>
      </w:tblGrid>
      <w:tr>
        <w:tc>
          <w:tcPr>
            <w:tcW w:type="dxa" w:w="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Pergunta</w:t>
            </w:r>
          </w:p>
        </w:tc>
        <w:tc>
          <w:tcPr>
            <w:tcW w:type="dxa" w:w="25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C2D4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Painel no Power BI</w:t>
            </w:r>
          </w:p>
        </w:tc>
      </w:tr>
      <w:tr>
        <w:tc>
          <w:tcPr>
            <w:tcW w:type="dxa" w:w="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Q1</w:t>
            </w:r>
          </w:p>
        </w:tc>
        <w:tc>
          <w:tcPr>
            <w:tcW w:type="dxa" w:w="3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Qual a forma de pagamento mais usada?</w:t>
            </w:r>
          </w:p>
        </w:tc>
        <w:tc>
          <w:tcPr>
            <w:tcW w:type="dxa" w:w="25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fato_pagamentos + dim_forma_pagamento</w:t>
            </w:r>
          </w:p>
        </w:tc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Gráfico de barras</w:t>
            </w:r>
          </w:p>
        </w:tc>
      </w:tr>
      <w:tr>
        <w:tc>
          <w:tcPr>
            <w:tcW w:type="dxa" w:w="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Q2</w:t>
            </w:r>
          </w:p>
        </w:tc>
        <w:tc>
          <w:tcPr>
            <w:tcW w:type="dxa" w:w="3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Qual a taxa de recompra dos clientes?</w:t>
            </w:r>
          </w:p>
        </w:tc>
        <w:tc>
          <w:tcPr>
            <w:tcW w:type="dxa" w:w="25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sp_analise_recompra</w:t>
            </w:r>
          </w:p>
        </w:tc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KPI + tabela</w:t>
            </w:r>
          </w:p>
        </w:tc>
      </w:tr>
      <w:tr>
        <w:tc>
          <w:tcPr>
            <w:tcW w:type="dxa" w:w="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Q3</w:t>
            </w:r>
          </w:p>
        </w:tc>
        <w:tc>
          <w:tcPr>
            <w:tcW w:type="dxa" w:w="3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Quais estados têm mais clientes ativos?</w:t>
            </w:r>
          </w:p>
        </w:tc>
        <w:tc>
          <w:tcPr>
            <w:tcW w:type="dxa" w:w="25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vw_pedidos_completos + dim_clientes</w:t>
            </w:r>
          </w:p>
        </w:tc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Mapa coroplético</w:t>
            </w:r>
          </w:p>
        </w:tc>
      </w:tr>
      <w:tr>
        <w:tc>
          <w:tcPr>
            <w:tcW w:type="dxa" w:w="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Q4</w:t>
            </w:r>
          </w:p>
        </w:tc>
        <w:tc>
          <w:tcPr>
            <w:tcW w:type="dxa" w:w="3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Quais meses têm mais volume de vendas?</w:t>
            </w:r>
          </w:p>
        </w:tc>
        <w:tc>
          <w:tcPr>
            <w:tcW w:type="dxa" w:w="25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vw_vendas_por_mes</w:t>
            </w:r>
          </w:p>
        </w:tc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Gráfico de linha</w:t>
            </w:r>
          </w:p>
        </w:tc>
      </w:tr>
      <w:tr>
        <w:tc>
          <w:tcPr>
            <w:tcW w:type="dxa" w:w="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Q5</w:t>
            </w:r>
          </w:p>
        </w:tc>
        <w:tc>
          <w:tcPr>
            <w:tcW w:type="dxa" w:w="3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Quais categorias geram mais receita?</w:t>
            </w:r>
          </w:p>
        </w:tc>
        <w:tc>
          <w:tcPr>
            <w:tcW w:type="dxa" w:w="25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vw_receita_por_categoria</w:t>
            </w:r>
          </w:p>
        </w:tc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Mapa de área / barras</w:t>
            </w:r>
          </w:p>
        </w:tc>
      </w:tr>
      <w:tr>
        <w:tc>
          <w:tcPr>
            <w:tcW w:type="dxa" w:w="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Q6</w:t>
            </w:r>
          </w:p>
        </w:tc>
        <w:tc>
          <w:tcPr>
            <w:tcW w:type="dxa" w:w="3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Qual o crescimento mês a mês?</w:t>
            </w:r>
          </w:p>
        </w:tc>
        <w:tc>
          <w:tcPr>
            <w:tcW w:type="dxa" w:w="25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fn_calcular_mom</w:t>
            </w:r>
          </w:p>
        </w:tc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Linha com variação %</w:t>
            </w:r>
          </w:p>
        </w:tc>
      </w:tr>
      <w:tr>
        <w:tc>
          <w:tcPr>
            <w:tcW w:type="dxa" w:w="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Q7</w:t>
            </w:r>
          </w:p>
        </w:tc>
        <w:tc>
          <w:tcPr>
            <w:tcW w:type="dxa" w:w="3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Qual o tempo médio de entrega por estado?</w:t>
            </w:r>
          </w:p>
        </w:tc>
        <w:tc>
          <w:tcPr>
            <w:tcW w:type="dxa" w:w="25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vw_status_entregas</w:t>
            </w:r>
          </w:p>
        </w:tc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Mapa + ranking</w:t>
            </w:r>
          </w:p>
        </w:tc>
      </w:tr>
      <w:tr>
        <w:tc>
          <w:tcPr>
            <w:tcW w:type="dxa" w:w="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Q8</w:t>
            </w:r>
          </w:p>
        </w:tc>
        <w:tc>
          <w:tcPr>
            <w:tcW w:type="dxa" w:w="3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Quais os principais motivos de cancelamento?</w:t>
            </w:r>
          </w:p>
        </w:tc>
        <w:tc>
          <w:tcPr>
            <w:tcW w:type="dxa" w:w="25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fato_pedidos + dim_motivo_cancelamento</w:t>
            </w:r>
          </w:p>
        </w:tc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Barras horizontais</w:t>
            </w:r>
          </w:p>
        </w:tc>
      </w:tr>
      <w:tr>
        <w:tc>
          <w:tcPr>
            <w:tcW w:type="dxa" w:w="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Q9</w:t>
            </w:r>
          </w:p>
        </w:tc>
        <w:tc>
          <w:tcPr>
            <w:tcW w:type="dxa" w:w="3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Quais vendedores geram mais receita?</w:t>
            </w:r>
          </w:p>
        </w:tc>
        <w:tc>
          <w:tcPr>
            <w:tcW w:type="dxa" w:w="25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sp_relatorio_vendedores</w:t>
            </w:r>
          </w:p>
        </w:tc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2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Tabela top N</w:t>
            </w:r>
          </w:p>
        </w:tc>
      </w:tr>
      <w:tr>
        <w:tc>
          <w:tcPr>
            <w:tcW w:type="dxa" w:w="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A6EA5"/>
                <w:sz w:val="18"/>
                <w:szCs w:val="18"/>
              </w:rPr>
              <w:t xml:space="preserve">Q10</w:t>
            </w:r>
          </w:p>
        </w:tc>
        <w:tc>
          <w:tcPr>
            <w:tcW w:type="dxa" w:w="3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E2E2E"/>
                <w:sz w:val="18"/>
                <w:szCs w:val="18"/>
              </w:rPr>
              <w:t xml:space="preserve">Qual a satisfação geral dos clientes?</w:t>
            </w:r>
          </w:p>
        </w:tc>
        <w:tc>
          <w:tcPr>
            <w:tcW w:type="dxa" w:w="25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4A6E"/>
                <w:sz w:val="17"/>
                <w:szCs w:val="17"/>
              </w:rPr>
              <w:t xml:space="preserve">vw_satisfacao_clientes</w:t>
            </w:r>
          </w:p>
        </w:tc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A5A5A"/>
                <w:sz w:val="18"/>
                <w:szCs w:val="18"/>
              </w:rPr>
              <w:t xml:space="preserve">Gauge + tabela</w:t>
            </w:r>
          </w:p>
        </w:tc>
      </w:tr>
    </w:tbl>
    <w:p>
      <w:pPr>
        <w:spacing w:before="200" w:after="20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DD4" w:sz="3" w:space="6"/>
      </w:pBdr>
      <w:spacing w:before="100" w:after="0"/>
      <w:jc w:val="right"/>
    </w:pPr>
    <w:r>
      <w:rPr>
        <w:rFonts w:ascii="Times New Roman" w:cs="Times New Roman" w:eastAsia="Times New Roman" w:hAnsi="Times New Roman"/>
        <w:color w:val="5A5A5A"/>
        <w:sz w:val="16"/>
        <w:szCs w:val="16"/>
      </w:rPr>
      <w:t xml:space="preserve">SQL Server  ·  Power BI     </w:t>
    </w:r>
    <w:r>
      <w:rPr>
        <w:rFonts w:ascii="Times New Roman" w:cs="Times New Roman" w:eastAsia="Times New Roman" w:hAnsi="Times New Roman"/>
        <w:b/>
        <w:bCs/>
        <w:color w:val="1C2D4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CDD4" w:sz="3" w:space="6"/>
      </w:pBdr>
      <w:spacing w:before="0" w:after="100"/>
    </w:pPr>
    <w:r>
      <w:rPr>
        <w:rFonts w:ascii="Times New Roman" w:cs="Times New Roman" w:eastAsia="Times New Roman" w:hAnsi="Times New Roman"/>
        <w:b/>
        <w:bCs/>
        <w:color w:val="1C2D40"/>
        <w:sz w:val="16"/>
        <w:szCs w:val="16"/>
      </w:rPr>
      <w:t xml:space="preserve">E-COMMERCE</w:t>
    </w:r>
    <w:r>
      <w:rPr>
        <w:rFonts w:ascii="Times New Roman" w:cs="Times New Roman" w:eastAsia="Times New Roman" w:hAnsi="Times New Roman"/>
        <w:color w:val="5A5A5A"/>
        <w:sz w:val="16"/>
        <w:szCs w:val="16"/>
      </w:rPr>
      <w:t xml:space="preserve">   ·   Documentação Técnica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  <w:rPr>
        <w:rFonts w:ascii="Times New Roman" w:cs="Times New Roman" w:eastAsia="Times New Roman" w:hAnsi="Times New Roman"/>
        <w:color w:val="3A6EA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80"/>
      <w:outlineLvl w:val="0"/>
    </w:pPr>
    <w:rPr>
      <w:rFonts w:ascii="Times New Roman" w:cs="Times New Roman" w:eastAsia="Times New Roman" w:hAnsi="Times New Roman"/>
      <w:b/>
      <w:bCs/>
      <w:color w:val="1C2D40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60" w:after="100"/>
      <w:outlineLvl w:val="1"/>
    </w:pPr>
    <w:rPr>
      <w:rFonts w:ascii="Times New Roman" w:cs="Times New Roman" w:eastAsia="Times New Roman" w:hAnsi="Times New Roman"/>
      <w:b/>
      <w:bCs/>
      <w:color w:val="2C4A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20" w:after="60"/>
      <w:outlineLvl w:val="2"/>
    </w:pPr>
    <w:rPr>
      <w:rFonts w:ascii="Times New Roman" w:cs="Times New Roman" w:eastAsia="Times New Roman" w:hAnsi="Times New Roman"/>
      <w:b/>
      <w:bCs/>
      <w:caps/>
      <w:color w:val="5A5A5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2026-03-10T18:26:26.334Z</dcterms:created>
  <dcterms:modified xsi:type="dcterms:W3CDTF">2026-03-10T18:26:26.337Z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