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0E44E5A7" w14:textId="77777777"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noProof/>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sidRPr="00D64531">
        <w:rPr>
          <w:b w:val="0"/>
          <w:bCs w:val="0"/>
        </w:rPr>
        <w:t xml:space="preserve"> </w:t>
      </w:r>
    </w:p>
    <w:p w14:paraId="01F9B41A" w14:textId="2A014871" w:rsidR="003A44C8" w:rsidRDefault="003A44C8" w:rsidP="003A44C8">
      <w:pPr>
        <w:jc w:val="both"/>
        <w:rPr>
          <w:lang w:val="en-GB"/>
        </w:rPr>
      </w:pPr>
      <w:r>
        <w:rPr>
          <w:lang w:val="en-GB"/>
        </w:rPr>
        <w:t xml:space="preserve">- </w:t>
      </w:r>
      <w:r w:rsidRPr="003A44C8">
        <w:rPr>
          <w:lang w:val="en-GB"/>
        </w:rPr>
        <w:t xml:space="preserve">instant </w:t>
      </w:r>
      <w:proofErr w:type="spellStart"/>
      <w:r w:rsidRPr="003A44C8">
        <w:rPr>
          <w:lang w:val="en-GB"/>
        </w:rPr>
        <w:t>center</w:t>
      </w:r>
      <w:proofErr w:type="spellEnd"/>
      <w:r w:rsidRPr="003A44C8">
        <w:rPr>
          <w:lang w:val="en-GB"/>
        </w:rPr>
        <w:t xml:space="preserve">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4FF0C4A0"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62B3FF32" w14:textId="0B70E0DE" w:rsidR="00D64531" w:rsidRDefault="00D64531" w:rsidP="003A44C8">
      <w:pPr>
        <w:jc w:val="both"/>
        <w:rPr>
          <w:b/>
          <w:bCs/>
          <w:lang w:val="en-GB"/>
        </w:rPr>
      </w:pPr>
      <w:proofErr w:type="spellStart"/>
      <w:r w:rsidRPr="00D64531">
        <w:rPr>
          <w:b/>
          <w:bCs/>
          <w:lang w:val="en-GB"/>
        </w:rPr>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716E7B"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30E283B7" w14:textId="2CE17F42" w:rsidR="001B782E" w:rsidRDefault="001B782E" w:rsidP="005E6A6E">
      <w:pPr>
        <w:jc w:val="both"/>
        <w:rPr>
          <w:b/>
          <w:bCs/>
        </w:rPr>
      </w:pPr>
      <w:r>
        <w:rPr>
          <w:b/>
          <w:bCs/>
          <w:noProof/>
        </w:rPr>
        <w:lastRenderedPageBreak/>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Moments of inertia</w:t>
      </w:r>
    </w:p>
    <w:p w14:paraId="2B40D945" w14:textId="40002616" w:rsidR="008C6741" w:rsidRPr="005E6A6E" w:rsidRDefault="001B782E" w:rsidP="005E6A6E">
      <w:pPr>
        <w:jc w:val="both"/>
      </w:pPr>
      <w:r>
        <w:t xml:space="preserve">The thin spherical shell formula can be used to derive the </w:t>
      </w:r>
      <w:r w:rsidR="00453D51">
        <w:t>moment of inertia</w:t>
      </w:r>
      <w:r>
        <w:t xml:space="preserve"> of </w:t>
      </w:r>
      <w:r w:rsidR="008C6741">
        <w:t>a non-</w:t>
      </w:r>
      <w:r w:rsidR="008C6741" w:rsidRPr="005E6A6E">
        <w:t>uniform density sphere.</w:t>
      </w:r>
    </w:p>
    <w:p w14:paraId="7317FF17" w14:textId="31060845" w:rsidR="008C6741" w:rsidRPr="005E6A6E" w:rsidRDefault="00453D51" w:rsidP="005E6A6E">
      <w:pPr>
        <w:jc w:val="both"/>
      </w:pPr>
      <w:r w:rsidRPr="005E6A6E">
        <w:t xml:space="preserve">Moment of inertia </w:t>
      </w:r>
      <w:r w:rsidR="008C6741" w:rsidRPr="005E6A6E">
        <w:t xml:space="preserve">contains important information about the geometry of the system and can even be used in reverse to find this geometry. </w:t>
      </w:r>
    </w:p>
    <w:p w14:paraId="08E42134" w14:textId="77777777" w:rsidR="00453D51" w:rsidRPr="005E6A6E" w:rsidRDefault="00453D51" w:rsidP="005E6A6E">
      <w:pPr>
        <w:jc w:val="both"/>
        <w:rPr>
          <w:rFonts w:eastAsiaTheme="minorEastAsia"/>
        </w:rPr>
      </w:pPr>
      <w:r w:rsidRPr="005E6A6E">
        <w:t xml:space="preserve">Moment of inertia </w:t>
      </w:r>
      <w:r w:rsidR="008C6741" w:rsidRPr="005E6A6E">
        <w:t xml:space="preserve">with respect to the center of mass can be found also using considerations of the dynamics of the system: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where L – angular momentum  and E</w:t>
      </w:r>
      <w:r w:rsidRPr="005E6A6E">
        <w:rPr>
          <w:rFonts w:eastAsiaTheme="minorEastAsia"/>
          <w:vertAlign w:val="subscript"/>
        </w:rPr>
        <w:t>k</w:t>
      </w:r>
      <w:r w:rsidRPr="005E6A6E">
        <w:rPr>
          <w:rFonts w:eastAsiaTheme="minorEastAsia"/>
        </w:rPr>
        <w:t xml:space="preserve"> – is kinetic energy</w:t>
      </w:r>
      <w:r w:rsidR="00453D51" w:rsidRPr="005E6A6E">
        <w:rPr>
          <w:rFonts w:eastAsiaTheme="minorEastAsia"/>
        </w:rPr>
        <w:t xml:space="preserve"> with respect to the center of mass </w:t>
      </w:r>
      <w:r w:rsidR="00453D51" w:rsidRPr="005E6A6E">
        <w:rPr>
          <w:rFonts w:eastAsiaTheme="minorEastAsia"/>
          <w:b/>
          <w:bCs/>
        </w:rPr>
        <w:t>of a rigid body</w:t>
      </w:r>
      <w:r w:rsidR="00453D51" w:rsidRPr="005E6A6E">
        <w:rPr>
          <w:rFonts w:eastAsiaTheme="minorEastAsia"/>
        </w:rPr>
        <w:t>. This equation is obtained through the analogy of linear and angular momentum, where the total kinetic energy is related with the total momentum. And it is useful in the CM refference frame because there E</w:t>
      </w:r>
      <w:r w:rsidR="00453D51" w:rsidRPr="005E6A6E">
        <w:rPr>
          <w:rFonts w:eastAsiaTheme="minorEastAsia"/>
          <w:vertAlign w:val="subscript"/>
        </w:rPr>
        <w:t>k</w:t>
      </w:r>
      <w:r w:rsidR="00453D51" w:rsidRPr="005E6A6E">
        <w:rPr>
          <w:rFonts w:eastAsiaTheme="minorEastAsia"/>
        </w:rPr>
        <w:t xml:space="preserve"> and L are conserved. (See pr. 1. EuPhO 2018)</w:t>
      </w:r>
      <w:r w:rsidR="001B782E" w:rsidRPr="001B782E">
        <w:rPr>
          <w:b/>
          <w:bCs/>
        </w:rPr>
        <w:br w:type="page"/>
      </w:r>
    </w:p>
    <w:p w14:paraId="14F75565" w14:textId="274D5ECC" w:rsidR="001B782E" w:rsidRDefault="001B782E">
      <w:pPr>
        <w:rPr>
          <w:b/>
          <w:bCs/>
        </w:rPr>
      </w:pPr>
    </w:p>
    <w:p w14:paraId="45F80597" w14:textId="77777777" w:rsidR="001B782E" w:rsidRPr="001B782E" w:rsidRDefault="001B782E">
      <w:pPr>
        <w:rPr>
          <w:rFonts w:eastAsiaTheme="majorEastAsia"/>
          <w:b/>
          <w:bCs/>
        </w:rPr>
      </w:pPr>
    </w:p>
    <w:p w14:paraId="47CBE2B4" w14:textId="4BD29E71"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716E7B"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716E7B"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62E22343"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paramterus, kā piemēram lielās pusass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lastRenderedPageBreak/>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716E7B"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716E7B"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5B03BF7F" w14:textId="450BF8E6" w:rsidR="00C76478" w:rsidRPr="00C76478" w:rsidRDefault="00C76478" w:rsidP="00C76478">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pusass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6B606CA5" w14:textId="17321A11" w:rsidR="00C76478" w:rsidRDefault="00C76478" w:rsidP="00115CC9">
      <w:pPr>
        <w:jc w:val="both"/>
        <w:rPr>
          <w:rFonts w:eastAsiaTheme="minorEastAsia"/>
        </w:rPr>
      </w:pPr>
    </w:p>
    <w:p w14:paraId="23F359D8" w14:textId="01D97E53" w:rsidR="00C76478" w:rsidRDefault="00C76478" w:rsidP="00115CC9">
      <w:pPr>
        <w:jc w:val="both"/>
        <w:rPr>
          <w:rFonts w:eastAsiaTheme="minorEastAsia"/>
        </w:rPr>
      </w:pP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29769F9E" w:rsidR="00737181" w:rsidRPr="00115CC9"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54C3DDD1" w14:textId="5E27AB83" w:rsidR="008E6356" w:rsidRPr="008E6356" w:rsidRDefault="008E6356" w:rsidP="008E6356">
      <w:pPr>
        <w:pStyle w:val="Heading1"/>
        <w:rPr>
          <w:lang w:val="lv-LV"/>
        </w:rPr>
      </w:pPr>
      <w:r w:rsidRPr="008E6356">
        <w:rPr>
          <w:lang w:val="lv-LV"/>
        </w:rPr>
        <w:t>Ideālās gazes</w:t>
      </w:r>
    </w:p>
    <w:p w14:paraId="43CE2FC8" w14:textId="0B028E60" w:rsidR="008E6356" w:rsidRDefault="008E6356" w:rsidP="008E6356">
      <w:r>
        <w:t>Pamata noderīgie vienādojumi:</w:t>
      </w:r>
    </w:p>
    <w:p w14:paraId="7C1CB93C" w14:textId="6B995D5E" w:rsidR="008E6356" w:rsidRPr="008E6356" w:rsidRDefault="00716E7B"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202879B4" w:rsidR="00904A5D" w:rsidRPr="00D50DC1" w:rsidRDefault="00716E7B"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3F77D51D" w:rsidR="00D50DC1" w:rsidRPr="00D50DC1" w:rsidRDefault="00716E7B"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716E7B"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r>
        <w:rPr>
          <w:rFonts w:eastAsiaTheme="minorEastAsia"/>
        </w:rPr>
        <w:lastRenderedPageBreak/>
        <w:t>Also:</w:t>
      </w:r>
    </w:p>
    <w:p w14:paraId="210EFADC" w14:textId="77CD8FEF" w:rsidR="00983E05" w:rsidRPr="00D50DC1" w:rsidRDefault="00716E7B"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716E7B"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716E7B"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716E7B"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716E7B"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23222B">
      <w:pPr>
        <w:jc w:val="both"/>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23222B">
      <w:pPr>
        <w:pStyle w:val="Heading1"/>
        <w:jc w:val="both"/>
        <w:rPr>
          <w:b w:val="0"/>
          <w:bCs w:val="0"/>
          <w:lang w:val="lv-LV"/>
        </w:rPr>
      </w:pPr>
      <w:r w:rsidRPr="00FF1730">
        <w:rPr>
          <w:b w:val="0"/>
          <w:bCs w:val="0"/>
          <w:lang w:val="lv-LV"/>
        </w:rPr>
        <w:t>Ideal gas Law</w:t>
      </w:r>
      <w:r>
        <w:rPr>
          <w:b w:val="0"/>
          <w:bCs w:val="0"/>
          <w:lang w:val="lv-LV"/>
        </w:rP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r>
        <w:rPr>
          <w:rFonts w:eastAsiaTheme="minorEastAsia"/>
        </w:rPr>
        <w:t>Work of gas:</w:t>
      </w:r>
    </w:p>
    <w:p w14:paraId="5E929008" w14:textId="1094C242" w:rsidR="00FF1730" w:rsidRPr="00FF1730" w:rsidRDefault="00716E7B"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0E167863" w:rsidR="00FF1730" w:rsidRDefault="00FF1730" w:rsidP="0023222B">
      <w:pPr>
        <w:pStyle w:val="ListParagraph"/>
        <w:numPr>
          <w:ilvl w:val="0"/>
          <w:numId w:val="2"/>
        </w:numPr>
        <w:jc w:val="both"/>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0F15268A" w14:textId="46155552" w:rsidR="00BB2A98" w:rsidRPr="00BB2A98" w:rsidRDefault="00BB2A98" w:rsidP="0023222B">
      <w:pPr>
        <w:pStyle w:val="Heading1"/>
        <w:jc w:val="both"/>
        <w:rPr>
          <w:lang w:val="lv-LV"/>
        </w:rPr>
      </w:pPr>
      <w:proofErr w:type="spellStart"/>
      <w:r w:rsidRPr="00401171">
        <w:rPr>
          <w:lang w:val="fr-CA"/>
        </w:rPr>
        <w:t>Uzdevumi</w:t>
      </w:r>
      <w:proofErr w:type="spellEnd"/>
      <w:r w:rsidRPr="00401171">
        <w:rPr>
          <w:lang w:val="fr-CA"/>
        </w:rPr>
        <w:t xml:space="preserve">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0612C92B" w:rsidR="00BB2A98" w:rsidRPr="00FF1730" w:rsidRDefault="00412EF7" w:rsidP="0023222B">
      <w:pPr>
        <w:jc w:val="both"/>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pievadītais</m:t>
                  </m:r>
                </m:sub>
              </m:sSub>
            </m:num>
            <m:den>
              <m:sSub>
                <m:sSubPr>
                  <m:ctrlPr>
                    <w:rPr>
                      <w:rFonts w:ascii="Cambria Math" w:hAnsi="Cambria Math"/>
                      <w:i/>
                    </w:rPr>
                  </m:ctrlPr>
                </m:sSubPr>
                <m:e>
                  <m:r>
                    <w:rPr>
                      <w:rFonts w:ascii="Cambria Math" w:hAnsi="Cambria Math"/>
                    </w:rPr>
                    <m:t>Q</m:t>
                  </m:r>
                </m:e>
                <m:sub>
                  <m:r>
                    <w:rPr>
                      <w:rFonts w:ascii="Cambria Math" w:hAnsi="Cambria Math"/>
                    </w:rPr>
                    <m:t>pievadītais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aizvadīties</m:t>
                  </m:r>
                </m:sub>
              </m:sSub>
            </m:den>
          </m:f>
        </m:oMath>
      </m:oMathPara>
    </w:p>
    <w:p w14:paraId="7287B489" w14:textId="6A6B809D" w:rsidR="00595056" w:rsidRPr="00595056" w:rsidRDefault="00595056" w:rsidP="0023222B">
      <w:pPr>
        <w:pStyle w:val="Heading1"/>
        <w:jc w:val="both"/>
        <w:rPr>
          <w:lang w:val="lv-LV"/>
        </w:rPr>
      </w:pPr>
      <w:r w:rsidRPr="00595056">
        <w:rPr>
          <w:lang w:val="lv-LV"/>
        </w:rPr>
        <w:t>Maiņstrāva</w:t>
      </w:r>
      <w:r>
        <w:rPr>
          <w:lang w:val="lv-LV"/>
        </w:rPr>
        <w:t>, komplekso skaitļu metode</w:t>
      </w:r>
    </w:p>
    <w:p w14:paraId="7C1C1A69" w14:textId="1B7FFA4F" w:rsidR="0046305D" w:rsidRDefault="00595056" w:rsidP="0023222B">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r w:rsidR="0046305D" w:rsidRPr="0046305D">
        <w:rPr>
          <w:rFonts w:eastAsiaTheme="minorEastAsia"/>
          <w:i/>
          <w:iCs/>
        </w:rPr>
        <w:t>phasors</w:t>
      </w:r>
      <w:r w:rsidR="0046305D">
        <w:rPr>
          <w:rFonts w:eastAsiaTheme="minorEastAsia"/>
        </w:rPr>
        <w:t>).</w:t>
      </w:r>
    </w:p>
    <w:p w14:paraId="17B2598E" w14:textId="3022608C" w:rsidR="0046305D" w:rsidRDefault="0046305D" w:rsidP="0023222B">
      <w:pPr>
        <w:spacing w:after="0" w:line="240" w:lineRule="auto"/>
        <w:jc w:val="both"/>
        <w:rPr>
          <w:rFonts w:eastAsiaTheme="minorEastAsia"/>
        </w:rPr>
      </w:pPr>
    </w:p>
    <w:p w14:paraId="2D3BEA70" w14:textId="632236D2" w:rsidR="0046305D" w:rsidRDefault="0046305D" w:rsidP="0023222B">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716E7B"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716E7B"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716E7B"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3222B">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3222B">
      <w:pPr>
        <w:spacing w:after="0" w:line="240" w:lineRule="auto"/>
        <w:jc w:val="both"/>
        <w:rPr>
          <w:rFonts w:eastAsiaTheme="minorEastAsia"/>
        </w:rPr>
      </w:pPr>
    </w:p>
    <w:p w14:paraId="69BB1A56" w14:textId="58DDF541" w:rsidR="00662D8E" w:rsidRDefault="00662D8E" w:rsidP="0023222B">
      <w:pPr>
        <w:spacing w:after="0" w:line="240" w:lineRule="auto"/>
        <w:jc w:val="both"/>
        <w:rPr>
          <w:rFonts w:eastAsiaTheme="minorEastAsia"/>
        </w:rPr>
      </w:pPr>
      <w:r>
        <w:rPr>
          <w:rFonts w:eastAsiaTheme="minorEastAsia"/>
        </w:rPr>
        <w:t>Vispārīgs plāns:</w:t>
      </w:r>
    </w:p>
    <w:p w14:paraId="56169455" w14:textId="782CCA33"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3222B">
      <w:pPr>
        <w:pStyle w:val="ListParagraph"/>
        <w:numPr>
          <w:ilvl w:val="0"/>
          <w:numId w:val="1"/>
        </w:numPr>
        <w:spacing w:after="0" w:line="240" w:lineRule="auto"/>
        <w:jc w:val="both"/>
        <w:rPr>
          <w:rFonts w:eastAsiaTheme="minorEastAsia"/>
        </w:rPr>
      </w:pPr>
      <w:r>
        <w:rPr>
          <w:rFonts w:eastAsiaTheme="minorEastAsia"/>
        </w:rPr>
        <w:t>Izveidojam sakarības pēc slēguma potenciāliem</w:t>
      </w:r>
    </w:p>
    <w:p w14:paraId="7F73B5A7" w14:textId="43824EC7"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ievietojam sakarībās vērtības, kompleksos skaitļus, izsakām</w:t>
      </w:r>
    </w:p>
    <w:p w14:paraId="728A6E6B" w14:textId="749FFE18" w:rsidR="00662D8E" w:rsidRP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7777777" w:rsidR="00F87867" w:rsidRDefault="00F87867" w:rsidP="0023222B">
      <w:pPr>
        <w:jc w:val="both"/>
        <w:rPr>
          <w:rFonts w:eastAsiaTheme="minorEastAsia"/>
        </w:rPr>
      </w:pPr>
      <w:r>
        <w:rPr>
          <w:rFonts w:eastAsiaTheme="minorEastAsia"/>
        </w:rPr>
        <w:br w:type="page"/>
      </w:r>
    </w:p>
    <w:p w14:paraId="1910E5BC" w14:textId="76E5E170" w:rsidR="002D0DD0" w:rsidRDefault="00F87867" w:rsidP="0023222B">
      <w:pPr>
        <w:pStyle w:val="Heading1"/>
        <w:jc w:val="both"/>
      </w:pPr>
      <w:r>
        <w:lastRenderedPageBreak/>
        <w:t>Optics</w:t>
      </w:r>
    </w:p>
    <w:p w14:paraId="6C069027" w14:textId="232AB9F1" w:rsidR="00F87867" w:rsidRDefault="00F87867" w:rsidP="0023222B">
      <w:pPr>
        <w:jc w:val="both"/>
        <w:rPr>
          <w:lang w:val="en-GB"/>
        </w:rPr>
      </w:pPr>
    </w:p>
    <w:p w14:paraId="5497ABFC" w14:textId="064E81CF" w:rsidR="00F87867" w:rsidRDefault="00F87867" w:rsidP="0023222B">
      <w:pPr>
        <w:jc w:val="both"/>
        <w:rPr>
          <w:lang w:val="en-GB"/>
        </w:rPr>
      </w:pPr>
      <w:r>
        <w:rPr>
          <w:noProof/>
          <w:lang w:val="en-GB"/>
        </w:rPr>
        <w:drawing>
          <wp:anchor distT="0" distB="0" distL="114300" distR="114300" simplePos="0" relativeHeight="251660288" behindDoc="0" locked="0" layoutInCell="1" allowOverlap="1" wp14:anchorId="27E73B11" wp14:editId="5D938CFA">
            <wp:simplePos x="0" y="0"/>
            <wp:positionH relativeFrom="margin">
              <wp:posOffset>1028700</wp:posOffset>
            </wp:positionH>
            <wp:positionV relativeFrom="page">
              <wp:posOffset>1958340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Pr>
          <w:lang w:val="en-GB"/>
        </w:rPr>
        <w:t>Ņūtona</w:t>
      </w:r>
      <w:proofErr w:type="spellEnd"/>
      <w:r>
        <w:rPr>
          <w:lang w:val="en-GB"/>
        </w:rPr>
        <w:t xml:space="preserve"> formula: </w:t>
      </w:r>
    </w:p>
    <w:p w14:paraId="4055D1DE" w14:textId="0EA442D4" w:rsidR="00F87867" w:rsidRDefault="00716E7B"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5055CAB6" w:rsidR="00F87867" w:rsidRDefault="00F87867" w:rsidP="0023222B">
      <w:pPr>
        <w:jc w:val="both"/>
        <w:rPr>
          <w:lang w:val="en-GB"/>
        </w:rPr>
      </w:pPr>
    </w:p>
    <w:p w14:paraId="64A90CE0" w14:textId="3C8FB760" w:rsidR="00F87867" w:rsidRDefault="004607C8" w:rsidP="0023222B">
      <w:pPr>
        <w:pStyle w:val="Heading1"/>
        <w:jc w:val="both"/>
        <w:rPr>
          <w:noProof/>
        </w:rPr>
      </w:pPr>
      <w:r>
        <w:rPr>
          <w:noProof/>
        </w:rPr>
        <w:t>Electromagnetism</w:t>
      </w:r>
    </w:p>
    <w:p w14:paraId="707ABB02" w14:textId="2F653377"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716E7B" w:rsidP="0023222B">
      <w:pPr>
        <w:jc w:val="both"/>
        <w:rPr>
          <w:lang w:val="en-GB"/>
        </w:rPr>
      </w:pPr>
      <w:hyperlink r:id="rId9"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r w:rsidRPr="00997513">
        <w:rPr>
          <w:color w:val="202122"/>
          <w:shd w:val="clear" w:color="auto" w:fill="FFFFFF"/>
        </w:rPr>
        <w:t>in </w:t>
      </w:r>
      <w:r w:rsidRPr="00997513">
        <w:rPr>
          <w:shd w:val="clear" w:color="auto" w:fill="FFFFFF"/>
        </w:rPr>
        <w:t>electrostatics</w:t>
      </w:r>
      <w:r w:rsidRPr="00997513">
        <w:rPr>
          <w:color w:val="202122"/>
          <w:shd w:val="clear" w:color="auto" w:fill="FFFFFF"/>
        </w:rPr>
        <w:t> to simply calculate or visualize the distribution of the electric field of a charge in the vicinity of a conducting surface</w:t>
      </w:r>
      <w:r w:rsidRPr="00997513">
        <w:rPr>
          <w:lang w:val="en-GB"/>
        </w:rPr>
        <w:t xml:space="preserve"> (see Izlases kursi), or</w:t>
      </w:r>
    </w:p>
    <w:p w14:paraId="47590D9D" w14:textId="340213B3" w:rsidR="004607C8" w:rsidRDefault="004607C8" w:rsidP="0023222B">
      <w:pPr>
        <w:jc w:val="both"/>
        <w:rPr>
          <w:lang w:val="en-GB"/>
        </w:rPr>
      </w:pPr>
      <w:r w:rsidRPr="00997513">
        <w:rPr>
          <w:lang w:val="en-GB"/>
        </w:rPr>
        <w:t>It can be used Magnet-superconductor systems (see pr. 3. EuPhO 2017)</w:t>
      </w:r>
    </w:p>
    <w:p w14:paraId="4EBA9417" w14:textId="468922B1" w:rsidR="00997513" w:rsidRDefault="00997513" w:rsidP="0023222B">
      <w:pPr>
        <w:jc w:val="both"/>
        <w:rPr>
          <w:lang w:val="en-GB"/>
        </w:rPr>
      </w:pPr>
      <w:r>
        <w:rPr>
          <w:lang w:val="en-GB"/>
        </w:rPr>
        <w:t>Or to model different flows or reflections at a boundary.</w:t>
      </w:r>
    </w:p>
    <w:p w14:paraId="1604C66E" w14:textId="0C091983" w:rsidR="00997513" w:rsidRDefault="00997513" w:rsidP="0023222B">
      <w:pPr>
        <w:jc w:val="both"/>
        <w:rPr>
          <w:b/>
          <w:bCs/>
          <w:lang w:val="en-GB"/>
        </w:rPr>
      </w:pPr>
      <w:r>
        <w:rPr>
          <w:b/>
          <w:bCs/>
          <w:lang w:val="en-GB"/>
        </w:rPr>
        <w:t>Magnetic monopole method for magnetic dipoles</w:t>
      </w:r>
    </w:p>
    <w:p w14:paraId="54246C8A" w14:textId="175B659D" w:rsidR="00997513" w:rsidRDefault="00997513" w:rsidP="0023222B">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2855E9B7" w14:textId="20A564C7" w:rsidR="00997513" w:rsidRDefault="00997513" w:rsidP="0023222B">
      <w:pPr>
        <w:jc w:val="both"/>
        <w:rPr>
          <w:lang w:val="en-GB"/>
        </w:rPr>
      </w:pPr>
      <w:r>
        <w:rPr>
          <w:lang w:val="en-GB"/>
        </w:rPr>
        <w:t xml:space="preserve">A magnetic dipole can be modelled a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sidR="007809D5">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sidR="007809D5">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0417EA2F" w14:textId="7346CB10" w:rsidR="007809D5" w:rsidRDefault="007809D5" w:rsidP="0023222B">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xml:space="preserve">+ </w:t>
      </w:r>
      <w:proofErr w:type="spellStart"/>
      <w:r>
        <w:t>q</w:t>
      </w:r>
      <w:r w:rsidRPr="007809D5">
        <w:rPr>
          <w:vertAlign w:val="subscript"/>
        </w:rPr>
        <w:t>m</w:t>
      </w:r>
      <w:r>
        <w:t>B</w:t>
      </w:r>
      <w:proofErr w:type="spellEnd"/>
      <w:r>
        <w:t>(x + d).</w:t>
      </w:r>
    </w:p>
    <w:p w14:paraId="34FDDB6B" w14:textId="77777777" w:rsidR="00DE6895" w:rsidRDefault="00DE6895" w:rsidP="0023222B">
      <w:pPr>
        <w:jc w:val="both"/>
        <w:rPr>
          <w:rFonts w:eastAsiaTheme="majorEastAsia"/>
          <w:b/>
          <w:bCs/>
          <w:lang w:val="en-GB"/>
        </w:rPr>
      </w:pPr>
      <w:r>
        <w:br w:type="page"/>
      </w:r>
    </w:p>
    <w:p w14:paraId="7DE9119B" w14:textId="199645BB"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84F586F">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7DC56F63" w:rsidR="00997513" w:rsidRPr="00997513" w:rsidRDefault="00997513" w:rsidP="0023222B">
      <w:pPr>
        <w:jc w:val="both"/>
        <w:rPr>
          <w:lang w:val="en-US"/>
        </w:rPr>
      </w:pPr>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 xml:space="preserve">A parabola </w:t>
      </w:r>
      <w:r w:rsidR="00F2429A" w:rsidRPr="00F2429A">
        <w:rPr>
          <w:lang w:val="en-GB"/>
        </w:rPr>
        <w:t>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287BCF8F" w:rsidR="00F2429A" w:rsidRDefault="00254B21" w:rsidP="00C97C52">
      <w:pPr>
        <w:pStyle w:val="ListParagraph"/>
        <w:jc w:val="both"/>
        <w:rPr>
          <w:lang w:val="en-GB"/>
        </w:rPr>
      </w:pPr>
      <w:r w:rsidRPr="00254B21">
        <w:rPr>
          <w:lang w:val="en-GB"/>
        </w:rPr>
        <w:drawing>
          <wp:anchor distT="0" distB="0" distL="114300" distR="114300" simplePos="0" relativeHeight="251663360" behindDoc="0" locked="0" layoutInCell="1" allowOverlap="1" wp14:anchorId="1FFD0BBF" wp14:editId="12ED98A0">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 xml:space="preserve">The </w:t>
      </w:r>
      <w:r w:rsidR="00F2429A" w:rsidRPr="00254B21">
        <w:rPr>
          <w:b/>
          <w:bCs/>
          <w:i/>
          <w:iCs/>
          <w:lang w:val="en-GB"/>
        </w:rPr>
        <w:t>vertex</w:t>
      </w:r>
      <w:r w:rsidR="00F2429A" w:rsidRPr="00F2429A">
        <w:rPr>
          <w:lang w:val="en-GB"/>
        </w:rPr>
        <w:t xml:space="preserve"> is halfway between the focus and directrix.</w:t>
      </w:r>
    </w:p>
    <w:p w14:paraId="2AB2AF38" w14:textId="77777777" w:rsidR="006C2FEC" w:rsidRDefault="006C2FEC">
      <w:pPr>
        <w:rPr>
          <w:b/>
          <w:bCs/>
          <w:lang w:val="en-GB"/>
        </w:rPr>
      </w:pPr>
      <w:r>
        <w:rPr>
          <w:b/>
          <w:bCs/>
          <w:lang w:val="en-GB"/>
        </w:rPr>
        <w:br w:type="page"/>
      </w:r>
    </w:p>
    <w:p w14:paraId="72D6795B" w14:textId="54F02831" w:rsidR="00C97C52" w:rsidRDefault="006C2FEC" w:rsidP="00C97C52">
      <w:pPr>
        <w:pStyle w:val="ListParagraph"/>
        <w:jc w:val="both"/>
        <w:rPr>
          <w:noProof/>
        </w:rPr>
      </w:pPr>
      <w:r w:rsidRPr="00C97C52">
        <w:rPr>
          <w:b/>
          <w:bCs/>
          <w:lang w:val="en-GB"/>
        </w:rPr>
        <w:lastRenderedPageBreak/>
        <w:drawing>
          <wp:anchor distT="0" distB="0" distL="114300" distR="114300" simplePos="0" relativeHeight="251664384" behindDoc="0" locked="0" layoutInCell="1" allowOverlap="1" wp14:anchorId="2DD67B4C" wp14:editId="1C42D358">
            <wp:simplePos x="0" y="0"/>
            <wp:positionH relativeFrom="margin">
              <wp:align>center</wp:align>
            </wp:positionH>
            <wp:positionV relativeFrom="page">
              <wp:posOffset>1314450</wp:posOffset>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C97C52" w:rsidRPr="00C97C52">
        <w:rPr>
          <w:b/>
          <w:bCs/>
          <w:lang w:val="en-GB"/>
        </w:rPr>
        <w:t>Reflection:</w:t>
      </w:r>
      <w:r w:rsidR="00C97C52">
        <w:rPr>
          <w:lang w:val="en-GB"/>
        </w:rPr>
        <w:t xml:space="preserve"> </w:t>
      </w:r>
      <w:r w:rsidR="00254B21" w:rsidRPr="00254B21">
        <w:rPr>
          <w:lang w:val="en-GB"/>
        </w:rPr>
        <w:t xml:space="preserve">Any ray parallel to the axis of symmetry gets reflected off the </w:t>
      </w:r>
      <w:r w:rsidR="00254B21">
        <w:rPr>
          <w:lang w:val="en-GB"/>
        </w:rPr>
        <w:t xml:space="preserve">parabola </w:t>
      </w:r>
      <w:r w:rsidR="00254B21" w:rsidRPr="00254B21">
        <w:rPr>
          <w:lang w:val="en-GB"/>
        </w:rPr>
        <w:t>straight to the focus.</w:t>
      </w:r>
      <w:r w:rsidR="00254B21" w:rsidRPr="00254B21">
        <w:rPr>
          <w:noProof/>
        </w:rPr>
        <w:t xml:space="preserve"> </w:t>
      </w:r>
    </w:p>
    <w:p w14:paraId="6F8BDF7A" w14:textId="5C02103D" w:rsidR="00254B21" w:rsidRDefault="00254B21" w:rsidP="00C97C52">
      <w:pPr>
        <w:pStyle w:val="ListParagraph"/>
        <w:jc w:val="both"/>
        <w:rPr>
          <w:noProof/>
        </w:rPr>
      </w:pPr>
      <w:r>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77777777" w:rsidR="00633631" w:rsidRDefault="00633631" w:rsidP="00C97C52">
      <w:pPr>
        <w:pStyle w:val="ListParagraph"/>
        <w:jc w:val="both"/>
        <w:rPr>
          <w:noProof/>
        </w:rPr>
      </w:pPr>
    </w:p>
    <w:p w14:paraId="25698438" w14:textId="106B5863" w:rsidR="00633631" w:rsidRPr="006C2FEC" w:rsidRDefault="00633631" w:rsidP="00633631">
      <w:pPr>
        <w:pStyle w:val="ListParagraph"/>
        <w:jc w:val="both"/>
        <w:rPr>
          <w:lang w:val="en-GB"/>
        </w:rPr>
      </w:pPr>
      <w:r>
        <w:rPr>
          <w:b/>
          <w:bCs/>
          <w:lang w:val="en-GB"/>
        </w:rPr>
        <w:t>Sketchy property</w:t>
      </w:r>
      <w:r w:rsidR="00716E7B">
        <w:rPr>
          <w:b/>
          <w:bCs/>
          <w:lang w:val="en-GB"/>
        </w:rPr>
        <w:t xml:space="preserve"> from EuPhO 2019</w:t>
      </w:r>
      <w:r w:rsidRPr="006C2FEC">
        <w:rPr>
          <w:b/>
          <w:bCs/>
          <w:lang w:val="en-GB"/>
        </w:rPr>
        <w:t xml:space="preserve">: </w:t>
      </w:r>
      <w:r w:rsidRPr="006C2FEC">
        <w:rPr>
          <w:lang w:val="en-GB"/>
        </w:rPr>
        <w:t>for any point on</w:t>
      </w:r>
      <w:r>
        <w:rPr>
          <w:lang w:val="en-GB"/>
        </w:rPr>
        <w:t xml:space="preserve"> </w:t>
      </w:r>
      <w:r w:rsidRPr="006C2FEC">
        <w:rPr>
          <w:lang w:val="en-GB"/>
        </w:rPr>
        <w:t>a parabola, its distance from the focus plus its</w:t>
      </w:r>
      <w:r>
        <w:rPr>
          <w:lang w:val="en-GB"/>
        </w:rPr>
        <w:t xml:space="preserve"> </w:t>
      </w:r>
      <w:r w:rsidRPr="006C2FEC">
        <w:rPr>
          <w:lang w:val="en-GB"/>
        </w:rPr>
        <w:t>distance</w:t>
      </w:r>
      <w:r>
        <w:rPr>
          <w:lang w:val="en-GB"/>
        </w:rPr>
        <w:t xml:space="preserve"> </w:t>
      </w:r>
      <w:r w:rsidRPr="006C2FEC">
        <w:rPr>
          <w:lang w:val="en-GB"/>
        </w:rPr>
        <w:t xml:space="preserve">from a horizontal line </w:t>
      </w:r>
      <w:r>
        <w:rPr>
          <w:lang w:val="en-GB"/>
        </w:rPr>
        <w:t xml:space="preserve">is </w:t>
      </w:r>
      <w:r w:rsidRPr="006C2FEC">
        <w:rPr>
          <w:lang w:val="en-GB"/>
        </w:rPr>
        <w:t>constant</w:t>
      </w:r>
      <w:r>
        <w:rPr>
          <w:lang w:val="en-GB"/>
        </w:rPr>
        <w:t>.</w:t>
      </w:r>
    </w:p>
    <w:p w14:paraId="7ECD5FD4" w14:textId="48188985" w:rsidR="00254B21" w:rsidRPr="00633631" w:rsidRDefault="00633631" w:rsidP="00633631">
      <w:pPr>
        <w:rPr>
          <w:b/>
          <w:bCs/>
          <w:lang w:val="en-GB"/>
        </w:rPr>
      </w:pPr>
      <w:r w:rsidRPr="00633631">
        <w:rPr>
          <w:b/>
          <w:bCs/>
          <w:lang w:val="en-GB"/>
        </w:rPr>
        <w:t>Ellipses</w:t>
      </w:r>
    </w:p>
    <w:sectPr w:rsidR="00254B21" w:rsidRPr="0063363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2"/>
  </w:num>
  <w:num w:numId="3" w16cid:durableId="2111123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A0AEF"/>
    <w:rsid w:val="00115CC9"/>
    <w:rsid w:val="00161D66"/>
    <w:rsid w:val="00173C61"/>
    <w:rsid w:val="001B782E"/>
    <w:rsid w:val="0023222B"/>
    <w:rsid w:val="00254B21"/>
    <w:rsid w:val="002D0DD0"/>
    <w:rsid w:val="00393E18"/>
    <w:rsid w:val="003A44C8"/>
    <w:rsid w:val="003E604B"/>
    <w:rsid w:val="00401171"/>
    <w:rsid w:val="00412EF7"/>
    <w:rsid w:val="00453D51"/>
    <w:rsid w:val="004607C8"/>
    <w:rsid w:val="0046305D"/>
    <w:rsid w:val="00465019"/>
    <w:rsid w:val="00595056"/>
    <w:rsid w:val="005B137E"/>
    <w:rsid w:val="005B37A9"/>
    <w:rsid w:val="005E6A6E"/>
    <w:rsid w:val="00633631"/>
    <w:rsid w:val="00654BCE"/>
    <w:rsid w:val="00662D8E"/>
    <w:rsid w:val="00692820"/>
    <w:rsid w:val="006C2FEC"/>
    <w:rsid w:val="00716E7B"/>
    <w:rsid w:val="00735AAA"/>
    <w:rsid w:val="00737181"/>
    <w:rsid w:val="007809D5"/>
    <w:rsid w:val="00781652"/>
    <w:rsid w:val="007E6EA0"/>
    <w:rsid w:val="007E71F7"/>
    <w:rsid w:val="008C6741"/>
    <w:rsid w:val="008D24D3"/>
    <w:rsid w:val="008E6356"/>
    <w:rsid w:val="00904A5D"/>
    <w:rsid w:val="00983E05"/>
    <w:rsid w:val="00994C8C"/>
    <w:rsid w:val="00997513"/>
    <w:rsid w:val="009E379F"/>
    <w:rsid w:val="00B941C4"/>
    <w:rsid w:val="00BB2A98"/>
    <w:rsid w:val="00C76478"/>
    <w:rsid w:val="00C97C52"/>
    <w:rsid w:val="00D50DC1"/>
    <w:rsid w:val="00D64531"/>
    <w:rsid w:val="00DD325E"/>
    <w:rsid w:val="00DD405D"/>
    <w:rsid w:val="00DE6895"/>
    <w:rsid w:val="00EB2ECE"/>
    <w:rsid w:val="00EB2FEF"/>
    <w:rsid w:val="00F2429A"/>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D64531"/>
    <w:pPr>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D64531"/>
    <w:rPr>
      <w:rFonts w:ascii="Times New Roman" w:hAnsi="Times New Roman" w:cs="Times New Roman"/>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Method_of_imag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1463</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17</cp:revision>
  <dcterms:created xsi:type="dcterms:W3CDTF">2022-04-01T11:16:00Z</dcterms:created>
  <dcterms:modified xsi:type="dcterms:W3CDTF">2022-05-15T10:56:00Z</dcterms:modified>
</cp:coreProperties>
</file>