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přijetí</w:t>
      </w:r>
      <w:r w:rsidR="0024312A">
        <w:rPr>
          <w:b/>
          <w:bCs/>
          <w:sz w:val="32"/>
          <w:szCs w:val="32"/>
          <w:u w:val="single"/>
        </w:rPr>
        <w:t xml:space="preserve"> článku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  <w:r w:rsidR="00FC03A5">
        <w:rPr>
          <w:sz w:val="28"/>
          <w:szCs w:val="28"/>
        </w:rPr>
        <w:t xml:space="preserve"> – </w:t>
      </w:r>
      <w:r w:rsidR="001347E6">
        <w:rPr>
          <w:sz w:val="28"/>
          <w:szCs w:val="28"/>
        </w:rPr>
        <w:t>informace o uložení nového článku do DB</w:t>
      </w:r>
    </w:p>
    <w:p w:rsidR="0024312A" w:rsidRDefault="001347E6" w:rsidP="003B582E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Informace autorovi  - zamítnutý, k formálnímu doplnění, odeslaný do recenzního 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459F2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E3D2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2019-10-23T17:28:00Z</dcterms:created>
  <dcterms:modified xsi:type="dcterms:W3CDTF">2019-10-23T17:41:00Z</dcterms:modified>
</cp:coreProperties>
</file>