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E7BC"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F1B41FF" wp14:editId="43BFAD40">
            <wp:extent cx="5760720" cy="913831"/>
            <wp:effectExtent l="0" t="0" r="0" b="635"/>
            <wp:docPr id="16" name="Obraz 16" descr="\\DSS-JGI\Documents\PRZEPISY WEW\Projekty zarządzen uchwał decyzji\2016_Zarz w spr wymogów edytorskich prac dypl\zmiana zarz 2016 11\od Danusi materialy 2016 12 02\glowki\EIT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EIT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14:paraId="7876E55E" w14:textId="77777777" w:rsidR="00BA4D94" w:rsidRPr="00BA4D94" w:rsidRDefault="00BA4D94" w:rsidP="00BA4D94">
      <w:pPr>
        <w:spacing w:after="200"/>
        <w:jc w:val="center"/>
        <w:rPr>
          <w:rFonts w:eastAsia="Calibri" w:cs="Arial"/>
          <w:sz w:val="24"/>
          <w:szCs w:val="24"/>
        </w:rPr>
      </w:pPr>
    </w:p>
    <w:p w14:paraId="044A51B2" w14:textId="722D0DA5" w:rsidR="00BA4D94" w:rsidRPr="00BA4D94" w:rsidRDefault="00BA4D94" w:rsidP="00BA4D94">
      <w:pPr>
        <w:spacing w:after="200"/>
        <w:jc w:val="center"/>
        <w:rPr>
          <w:rFonts w:eastAsia="Calibri" w:cs="Arial"/>
          <w:sz w:val="24"/>
          <w:szCs w:val="24"/>
        </w:rPr>
      </w:pPr>
      <w:r w:rsidRPr="00BA4D94">
        <w:rPr>
          <w:rFonts w:eastAsia="Calibri" w:cs="Arial"/>
          <w:sz w:val="24"/>
          <w:szCs w:val="24"/>
        </w:rPr>
        <w:t>Instytut Automatyki i Informatyki Stosowanej</w:t>
      </w:r>
    </w:p>
    <w:p w14:paraId="322CC799" w14:textId="77777777" w:rsidR="00BA4D94" w:rsidRPr="00BA4D94" w:rsidRDefault="00BA4D94" w:rsidP="00BA4D94">
      <w:pPr>
        <w:spacing w:after="200"/>
        <w:jc w:val="center"/>
        <w:rPr>
          <w:rFonts w:eastAsia="Calibri" w:cs="Arial"/>
          <w:sz w:val="24"/>
          <w:szCs w:val="24"/>
        </w:rPr>
      </w:pPr>
    </w:p>
    <w:p w14:paraId="7AF1F951"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B665362" wp14:editId="0F9995FF">
            <wp:extent cx="5760720" cy="1254278"/>
            <wp:effectExtent l="0" t="0" r="0" b="3175"/>
            <wp:docPr id="17" name="Obraz 17" descr="\\DSS-JGI\Documents\PRZEPISY WEW\Projekty zarządzen uchwał decyzji\2016_Zarz w spr wymogów edytorskich prac dypl\zmiana zarz 2016 11\od Danusi materialy 2016 11 29\praca-magist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JGI\Documents\PRZEPISY WEW\Projekty zarządzen uchwał decyzji\2016_Zarz w spr wymogów edytorskich prac dypl\zmiana zarz 2016 11\od Danusi materialy 2016 11 29\praca-magist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278"/>
                    </a:xfrm>
                    <a:prstGeom prst="rect">
                      <a:avLst/>
                    </a:prstGeom>
                    <a:noFill/>
                    <a:ln>
                      <a:noFill/>
                    </a:ln>
                  </pic:spPr>
                </pic:pic>
              </a:graphicData>
            </a:graphic>
          </wp:inline>
        </w:drawing>
      </w:r>
    </w:p>
    <w:p w14:paraId="2FF6963B" w14:textId="61D50124" w:rsidR="00BA4D94" w:rsidRPr="00BA4D94" w:rsidRDefault="00BA4D94" w:rsidP="00BA4D94">
      <w:pPr>
        <w:jc w:val="center"/>
        <w:rPr>
          <w:rFonts w:eastAsia="Calibri" w:cs="Arial"/>
          <w:sz w:val="24"/>
          <w:szCs w:val="24"/>
        </w:rPr>
      </w:pPr>
      <w:r w:rsidRPr="00BA4D94">
        <w:rPr>
          <w:rFonts w:eastAsia="Calibri" w:cs="Arial"/>
          <w:sz w:val="24"/>
          <w:szCs w:val="24"/>
        </w:rPr>
        <w:t>na kierunku Informatyka</w:t>
      </w:r>
    </w:p>
    <w:p w14:paraId="21EE2E60" w14:textId="4D7F262B" w:rsidR="00BA4D94" w:rsidRPr="00BA4D94" w:rsidRDefault="00BA4D94" w:rsidP="00BA4D94">
      <w:pPr>
        <w:jc w:val="center"/>
        <w:rPr>
          <w:rFonts w:eastAsia="Calibri" w:cs="Arial"/>
          <w:sz w:val="24"/>
          <w:szCs w:val="24"/>
        </w:rPr>
      </w:pPr>
      <w:r w:rsidRPr="00BA4D94">
        <w:rPr>
          <w:rFonts w:eastAsia="Calibri" w:cs="Arial"/>
          <w:sz w:val="24"/>
          <w:szCs w:val="24"/>
        </w:rPr>
        <w:t>w specjalności Systemy Informacyjno-Decyzyjne</w:t>
      </w:r>
    </w:p>
    <w:p w14:paraId="4975E3A7" w14:textId="77777777" w:rsidR="00BA4D94" w:rsidRPr="00BA4D94" w:rsidRDefault="00BA4D94" w:rsidP="00BA4D94">
      <w:pPr>
        <w:spacing w:after="200"/>
        <w:jc w:val="center"/>
        <w:rPr>
          <w:rFonts w:eastAsia="Calibri" w:cs="Arial"/>
          <w:sz w:val="28"/>
          <w:szCs w:val="28"/>
        </w:rPr>
      </w:pPr>
    </w:p>
    <w:p w14:paraId="4AAB6225" w14:textId="0B414AA5" w:rsidR="00BA4D94" w:rsidRPr="00BA4D94" w:rsidRDefault="006A5E07" w:rsidP="00BA4D94">
      <w:pPr>
        <w:spacing w:after="200"/>
        <w:jc w:val="center"/>
        <w:rPr>
          <w:rFonts w:eastAsia="Calibri" w:cs="Arial"/>
          <w:sz w:val="28"/>
          <w:szCs w:val="28"/>
        </w:rPr>
      </w:pPr>
      <w:r>
        <w:rPr>
          <w:rFonts w:eastAsia="Calibri" w:cs="Arial"/>
          <w:sz w:val="28"/>
          <w:szCs w:val="28"/>
        </w:rPr>
        <w:t>System optymalizacji spłaty kredytów walutowych</w:t>
      </w:r>
    </w:p>
    <w:p w14:paraId="2BE11589" w14:textId="77777777" w:rsidR="00BA4D94" w:rsidRPr="00BA4D94" w:rsidRDefault="00BA4D94" w:rsidP="00BA4D94">
      <w:pPr>
        <w:spacing w:after="200"/>
        <w:jc w:val="center"/>
        <w:rPr>
          <w:rFonts w:eastAsia="Calibri" w:cs="Arial"/>
          <w:sz w:val="28"/>
          <w:szCs w:val="28"/>
        </w:rPr>
      </w:pPr>
    </w:p>
    <w:p w14:paraId="7503F86A" w14:textId="77777777" w:rsidR="00BA4D94" w:rsidRPr="00BA4D94" w:rsidRDefault="00BA4D94" w:rsidP="00BA4D94">
      <w:pPr>
        <w:spacing w:after="200"/>
        <w:jc w:val="center"/>
        <w:rPr>
          <w:rFonts w:eastAsia="Calibri" w:cs="Arial"/>
          <w:sz w:val="24"/>
          <w:szCs w:val="24"/>
        </w:rPr>
      </w:pPr>
    </w:p>
    <w:p w14:paraId="345DFDEF" w14:textId="48BC29DD" w:rsidR="00BA4D94" w:rsidRPr="00BA4D94" w:rsidRDefault="00BA4D94" w:rsidP="00BA4D94">
      <w:pPr>
        <w:jc w:val="center"/>
        <w:rPr>
          <w:rFonts w:eastAsia="Calibri" w:cs="Arial"/>
          <w:sz w:val="42"/>
          <w:szCs w:val="42"/>
        </w:rPr>
      </w:pPr>
      <w:r>
        <w:rPr>
          <w:rFonts w:eastAsia="Calibri" w:cs="Arial"/>
          <w:sz w:val="42"/>
          <w:szCs w:val="42"/>
        </w:rPr>
        <w:t>Łukasz Komorowski</w:t>
      </w:r>
    </w:p>
    <w:p w14:paraId="14E38461" w14:textId="55E6D055" w:rsidR="00BA4D94" w:rsidRPr="00BA4D94" w:rsidRDefault="00BA4D94" w:rsidP="00BA4D94">
      <w:pPr>
        <w:spacing w:after="200"/>
        <w:jc w:val="center"/>
        <w:rPr>
          <w:rFonts w:eastAsia="Calibri" w:cs="Arial"/>
          <w:sz w:val="24"/>
          <w:szCs w:val="24"/>
        </w:rPr>
      </w:pPr>
      <w:r w:rsidRPr="00BA4D94">
        <w:rPr>
          <w:rFonts w:eastAsia="Calibri" w:cs="Arial"/>
          <w:sz w:val="24"/>
          <w:szCs w:val="24"/>
        </w:rPr>
        <w:t xml:space="preserve">Numer albumu </w:t>
      </w:r>
      <w:r>
        <w:rPr>
          <w:rFonts w:eastAsia="Calibri" w:cs="Arial"/>
          <w:sz w:val="24"/>
          <w:szCs w:val="24"/>
        </w:rPr>
        <w:t>276373</w:t>
      </w:r>
    </w:p>
    <w:p w14:paraId="775A4CCF" w14:textId="77777777" w:rsidR="00BA4D94" w:rsidRPr="00BA4D94" w:rsidRDefault="00BA4D94" w:rsidP="00BA4D94">
      <w:pPr>
        <w:spacing w:after="200"/>
        <w:jc w:val="center"/>
        <w:rPr>
          <w:rFonts w:eastAsia="Calibri" w:cs="Arial"/>
          <w:sz w:val="24"/>
          <w:szCs w:val="24"/>
        </w:rPr>
      </w:pPr>
    </w:p>
    <w:p w14:paraId="5E419DA7" w14:textId="77777777" w:rsidR="00BA4D94" w:rsidRPr="00BA4D94" w:rsidRDefault="00BA4D94" w:rsidP="00BA4D94">
      <w:pPr>
        <w:jc w:val="center"/>
        <w:rPr>
          <w:rFonts w:eastAsia="Calibri" w:cs="Arial"/>
          <w:sz w:val="24"/>
          <w:szCs w:val="24"/>
        </w:rPr>
      </w:pPr>
      <w:r w:rsidRPr="00BA4D94">
        <w:rPr>
          <w:rFonts w:eastAsia="Calibri" w:cs="Arial"/>
          <w:sz w:val="24"/>
          <w:szCs w:val="24"/>
        </w:rPr>
        <w:t>promotor</w:t>
      </w:r>
    </w:p>
    <w:p w14:paraId="164A04A2" w14:textId="0DFF1C5C" w:rsidR="00BA4D94" w:rsidRPr="00BA4D94" w:rsidRDefault="00BA4D94" w:rsidP="00BA4D94">
      <w:pPr>
        <w:jc w:val="center"/>
        <w:rPr>
          <w:rFonts w:eastAsia="Calibri" w:cs="Arial"/>
          <w:sz w:val="24"/>
          <w:szCs w:val="24"/>
        </w:rPr>
      </w:pPr>
      <w:r>
        <w:rPr>
          <w:rFonts w:eastAsia="Calibri" w:cs="Arial"/>
          <w:sz w:val="24"/>
          <w:szCs w:val="24"/>
        </w:rPr>
        <w:t>D</w:t>
      </w:r>
      <w:r w:rsidRPr="00BA4D94">
        <w:rPr>
          <w:rFonts w:eastAsia="Calibri" w:cs="Arial"/>
          <w:sz w:val="24"/>
          <w:szCs w:val="24"/>
        </w:rPr>
        <w:t xml:space="preserve">r inż. Sebastian </w:t>
      </w:r>
      <w:proofErr w:type="spellStart"/>
      <w:r w:rsidRPr="00BA4D94">
        <w:rPr>
          <w:rFonts w:eastAsia="Calibri" w:cs="Arial"/>
          <w:sz w:val="24"/>
          <w:szCs w:val="24"/>
        </w:rPr>
        <w:t>Plamowski</w:t>
      </w:r>
      <w:proofErr w:type="spellEnd"/>
    </w:p>
    <w:p w14:paraId="30A08315" w14:textId="77777777" w:rsidR="00BA4D94" w:rsidRPr="00BA4D94" w:rsidRDefault="00BA4D94" w:rsidP="00BA4D94">
      <w:pPr>
        <w:spacing w:after="200"/>
        <w:jc w:val="center"/>
        <w:rPr>
          <w:rFonts w:eastAsia="Calibri" w:cs="Arial"/>
          <w:sz w:val="24"/>
          <w:szCs w:val="24"/>
        </w:rPr>
      </w:pPr>
    </w:p>
    <w:p w14:paraId="18D19A5E" w14:textId="77777777" w:rsidR="00BA4D94" w:rsidRPr="00BA4D94" w:rsidRDefault="00BA4D94" w:rsidP="00BA4D94">
      <w:pPr>
        <w:jc w:val="center"/>
        <w:rPr>
          <w:rFonts w:eastAsia="Calibri" w:cs="Arial"/>
          <w:sz w:val="24"/>
          <w:szCs w:val="24"/>
        </w:rPr>
      </w:pPr>
    </w:p>
    <w:p w14:paraId="3C1BC48B" w14:textId="77777777" w:rsidR="00BA4D94" w:rsidRPr="00BA4D94" w:rsidRDefault="00BA4D94" w:rsidP="00BA4D94">
      <w:pPr>
        <w:jc w:val="center"/>
        <w:rPr>
          <w:rFonts w:eastAsia="Calibri" w:cs="Arial"/>
          <w:sz w:val="24"/>
          <w:szCs w:val="24"/>
        </w:rPr>
      </w:pPr>
    </w:p>
    <w:p w14:paraId="104FCB69" w14:textId="77777777" w:rsidR="00BA4D94" w:rsidRPr="00BA4D94" w:rsidRDefault="00BA4D94" w:rsidP="00BA4D94">
      <w:pPr>
        <w:spacing w:after="200"/>
        <w:jc w:val="center"/>
        <w:rPr>
          <w:rFonts w:eastAsia="Calibri" w:cs="Arial"/>
          <w:sz w:val="24"/>
          <w:szCs w:val="24"/>
        </w:rPr>
      </w:pPr>
    </w:p>
    <w:p w14:paraId="5AA62DDA" w14:textId="77777777" w:rsidR="00BA4D94" w:rsidRPr="00BA4D94" w:rsidRDefault="00BA4D94" w:rsidP="008A10C5">
      <w:pPr>
        <w:spacing w:after="200"/>
        <w:jc w:val="center"/>
        <w:rPr>
          <w:rFonts w:eastAsia="Calibri" w:cs="Arial"/>
          <w:sz w:val="24"/>
          <w:szCs w:val="24"/>
        </w:rPr>
      </w:pPr>
    </w:p>
    <w:p w14:paraId="13A90A07" w14:textId="56F26E75" w:rsidR="008A10C5" w:rsidRDefault="00BA4D94" w:rsidP="008A10C5">
      <w:pPr>
        <w:spacing w:after="200"/>
        <w:jc w:val="center"/>
        <w:rPr>
          <w:rFonts w:eastAsia="Calibri" w:cs="Arial"/>
          <w:sz w:val="24"/>
          <w:szCs w:val="24"/>
        </w:rPr>
      </w:pPr>
      <w:r>
        <w:rPr>
          <w:rFonts w:eastAsia="Calibri" w:cs="Arial"/>
          <w:sz w:val="24"/>
          <w:szCs w:val="24"/>
        </w:rPr>
        <w:t>WARSZAWA 2021</w:t>
      </w:r>
      <w:r w:rsidR="008A10C5">
        <w:rPr>
          <w:rFonts w:eastAsia="Calibri" w:cs="Arial"/>
          <w:sz w:val="24"/>
          <w:szCs w:val="24"/>
        </w:rPr>
        <w:br w:type="page"/>
      </w:r>
    </w:p>
    <w:p w14:paraId="0D360576" w14:textId="47DDBECE" w:rsidR="00912C20" w:rsidRDefault="006A5E07">
      <w:r>
        <w:lastRenderedPageBreak/>
        <w:t>Streszczenie:</w:t>
      </w:r>
    </w:p>
    <w:p w14:paraId="20EDC173" w14:textId="1CE13481" w:rsidR="006A5E07" w:rsidRDefault="006A5E07">
      <w:r>
        <w:t>[TEKST]</w:t>
      </w:r>
    </w:p>
    <w:p w14:paraId="06A7F8B5" w14:textId="4063D94A" w:rsidR="006A5E07" w:rsidRDefault="006A5E07">
      <w:r>
        <w:t>Słowa kluczowe – [SŁOWA]</w:t>
      </w:r>
    </w:p>
    <w:p w14:paraId="5193B49A" w14:textId="77777777" w:rsidR="006A5E07" w:rsidRDefault="006A5E07">
      <w:r>
        <w:br w:type="page"/>
      </w:r>
    </w:p>
    <w:p w14:paraId="2421D136" w14:textId="05DD2848" w:rsidR="006A5E07" w:rsidRPr="008A10C5" w:rsidRDefault="006A5E07">
      <w:pPr>
        <w:rPr>
          <w:lang w:val="de-DE"/>
        </w:rPr>
      </w:pPr>
      <w:r w:rsidRPr="008A10C5">
        <w:rPr>
          <w:lang w:val="de-DE"/>
        </w:rPr>
        <w:lastRenderedPageBreak/>
        <w:t>Summary:</w:t>
      </w:r>
    </w:p>
    <w:p w14:paraId="105EF30E" w14:textId="66A029F1" w:rsidR="006A5E07" w:rsidRPr="008A10C5" w:rsidRDefault="006A5E07">
      <w:pPr>
        <w:rPr>
          <w:lang w:val="de-DE"/>
        </w:rPr>
      </w:pPr>
      <w:r w:rsidRPr="008A10C5">
        <w:rPr>
          <w:lang w:val="de-DE"/>
        </w:rPr>
        <w:t>[TEKST]</w:t>
      </w:r>
    </w:p>
    <w:p w14:paraId="297602C1" w14:textId="04192483" w:rsidR="006A5E07" w:rsidRPr="008A10C5" w:rsidRDefault="006A5E07">
      <w:pPr>
        <w:rPr>
          <w:lang w:val="de-DE"/>
        </w:rPr>
      </w:pPr>
      <w:r w:rsidRPr="008A10C5">
        <w:rPr>
          <w:lang w:val="de-DE"/>
        </w:rPr>
        <w:t>Keywords – [SŁOWA]</w:t>
      </w:r>
    </w:p>
    <w:p w14:paraId="539A64A5" w14:textId="77777777" w:rsidR="006A5E07" w:rsidRPr="008A10C5" w:rsidRDefault="006A5E07">
      <w:pPr>
        <w:rPr>
          <w:lang w:val="de-DE"/>
        </w:rPr>
      </w:pPr>
      <w:r w:rsidRPr="008A10C5">
        <w:rPr>
          <w:lang w:val="de-DE"/>
        </w:rPr>
        <w:br w:type="page"/>
      </w:r>
    </w:p>
    <w:p w14:paraId="14B52355" w14:textId="05C1FE2E" w:rsidR="006A5E07" w:rsidRPr="008A10C5" w:rsidRDefault="006A5E07">
      <w:pPr>
        <w:rPr>
          <w:lang w:val="de-DE"/>
        </w:rPr>
      </w:pPr>
      <w:r w:rsidRPr="008A10C5">
        <w:rPr>
          <w:lang w:val="de-DE"/>
        </w:rPr>
        <w:lastRenderedPageBreak/>
        <w:t>Zusammenfassung:</w:t>
      </w:r>
    </w:p>
    <w:p w14:paraId="7E40DD82" w14:textId="3ECFAC96" w:rsidR="006A5E07" w:rsidRDefault="006A5E07">
      <w:r>
        <w:t>[TEKST]</w:t>
      </w:r>
    </w:p>
    <w:p w14:paraId="401CCEC2" w14:textId="1EDA2E4E" w:rsidR="006A5E07" w:rsidRDefault="006A5E07">
      <w:proofErr w:type="spellStart"/>
      <w:r>
        <w:t>Stichworte</w:t>
      </w:r>
      <w:proofErr w:type="spellEnd"/>
      <w:r>
        <w:t xml:space="preserve"> – [SŁOWA]</w:t>
      </w:r>
    </w:p>
    <w:p w14:paraId="332F334A" w14:textId="77777777" w:rsidR="006A5E07" w:rsidRDefault="006A5E07">
      <w:r>
        <w:br w:type="page"/>
      </w:r>
    </w:p>
    <w:p w14:paraId="0FB14614" w14:textId="7ED7029A" w:rsidR="006A5E07" w:rsidRDefault="006A5E07">
      <w:r w:rsidRPr="006A5E07">
        <w:lastRenderedPageBreak/>
        <w:t>Oświadczenie autora pracy</w:t>
      </w:r>
      <w:r>
        <w:t xml:space="preserve"> - </w:t>
      </w:r>
      <w:r w:rsidRPr="006A5E07">
        <w:t xml:space="preserve"> z systemu USOS oświadczenie autora pracy dyplomowej (Zarządzenie nr 28/2016 Rektora Politechniki Warszawskiej)</w:t>
      </w:r>
    </w:p>
    <w:p w14:paraId="198BDABD" w14:textId="77777777" w:rsidR="006A5E07" w:rsidRDefault="006A5E07">
      <w:r>
        <w:br w:type="page"/>
      </w:r>
      <w:bookmarkStart w:id="0" w:name="_GoBack"/>
      <w:bookmarkEnd w:id="0"/>
    </w:p>
    <w:sdt>
      <w:sdtPr>
        <w:rPr>
          <w:rFonts w:asciiTheme="minorHAnsi" w:eastAsiaTheme="minorHAnsi" w:hAnsiTheme="minorHAnsi" w:cstheme="minorBidi"/>
          <w:b w:val="0"/>
          <w:sz w:val="22"/>
          <w:szCs w:val="22"/>
          <w:lang w:eastAsia="en-US"/>
        </w:rPr>
        <w:id w:val="-1834450103"/>
        <w:docPartObj>
          <w:docPartGallery w:val="Table of Contents"/>
          <w:docPartUnique/>
        </w:docPartObj>
      </w:sdtPr>
      <w:sdtEndPr>
        <w:rPr>
          <w:rFonts w:ascii="Arial" w:hAnsi="Arial"/>
          <w:bCs/>
        </w:rPr>
      </w:sdtEndPr>
      <w:sdtContent>
        <w:p w14:paraId="74AD4CEA" w14:textId="7B79FABE" w:rsidR="00912C20" w:rsidRDefault="00912C20">
          <w:pPr>
            <w:pStyle w:val="TOCHeading"/>
          </w:pPr>
          <w:r>
            <w:t>Spis treści</w:t>
          </w:r>
        </w:p>
        <w:p w14:paraId="69FF1DA1" w14:textId="7D3D5770" w:rsidR="00E34964" w:rsidRDefault="00912C20">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62678970" w:history="1">
            <w:r w:rsidR="00E34964" w:rsidRPr="00713CF4">
              <w:rPr>
                <w:rStyle w:val="Hyperlink"/>
                <w:noProof/>
              </w:rPr>
              <w:t>1</w:t>
            </w:r>
            <w:r w:rsidR="00E34964">
              <w:rPr>
                <w:rFonts w:asciiTheme="minorHAnsi" w:eastAsiaTheme="minorEastAsia" w:hAnsiTheme="minorHAnsi"/>
                <w:noProof/>
                <w:lang w:val="en-US"/>
              </w:rPr>
              <w:tab/>
            </w:r>
            <w:r w:rsidR="00E34964" w:rsidRPr="00713CF4">
              <w:rPr>
                <w:rStyle w:val="Hyperlink"/>
                <w:noProof/>
              </w:rPr>
              <w:t>Wstęp</w:t>
            </w:r>
            <w:r w:rsidR="00E34964">
              <w:rPr>
                <w:noProof/>
                <w:webHidden/>
              </w:rPr>
              <w:tab/>
            </w:r>
            <w:r w:rsidR="00E34964">
              <w:rPr>
                <w:noProof/>
                <w:webHidden/>
              </w:rPr>
              <w:fldChar w:fldCharType="begin"/>
            </w:r>
            <w:r w:rsidR="00E34964">
              <w:rPr>
                <w:noProof/>
                <w:webHidden/>
              </w:rPr>
              <w:instrText xml:space="preserve"> PAGEREF _Toc62678970 \h </w:instrText>
            </w:r>
            <w:r w:rsidR="00E34964">
              <w:rPr>
                <w:noProof/>
                <w:webHidden/>
              </w:rPr>
            </w:r>
            <w:r w:rsidR="00E34964">
              <w:rPr>
                <w:noProof/>
                <w:webHidden/>
              </w:rPr>
              <w:fldChar w:fldCharType="separate"/>
            </w:r>
            <w:r w:rsidR="00923B29">
              <w:rPr>
                <w:noProof/>
                <w:webHidden/>
              </w:rPr>
              <w:t>7</w:t>
            </w:r>
            <w:r w:rsidR="00E34964">
              <w:rPr>
                <w:noProof/>
                <w:webHidden/>
              </w:rPr>
              <w:fldChar w:fldCharType="end"/>
            </w:r>
          </w:hyperlink>
        </w:p>
        <w:p w14:paraId="7B209A07" w14:textId="21117718" w:rsidR="00E34964" w:rsidRDefault="00E34964">
          <w:pPr>
            <w:pStyle w:val="TOC1"/>
            <w:rPr>
              <w:rFonts w:asciiTheme="minorHAnsi" w:eastAsiaTheme="minorEastAsia" w:hAnsiTheme="minorHAnsi"/>
              <w:noProof/>
              <w:lang w:val="en-US"/>
            </w:rPr>
          </w:pPr>
          <w:hyperlink w:anchor="_Toc62678971" w:history="1">
            <w:r w:rsidRPr="00713CF4">
              <w:rPr>
                <w:rStyle w:val="Hyperlink"/>
                <w:noProof/>
              </w:rPr>
              <w:t>2</w:t>
            </w:r>
            <w:r>
              <w:rPr>
                <w:rFonts w:asciiTheme="minorHAnsi" w:eastAsiaTheme="minorEastAsia" w:hAnsiTheme="minorHAnsi"/>
                <w:noProof/>
                <w:lang w:val="en-US"/>
              </w:rPr>
              <w:tab/>
            </w:r>
            <w:r w:rsidRPr="00713CF4">
              <w:rPr>
                <w:rStyle w:val="Hyperlink"/>
                <w:noProof/>
              </w:rPr>
              <w:t>Rynek kredytowy</w:t>
            </w:r>
            <w:r>
              <w:rPr>
                <w:noProof/>
                <w:webHidden/>
              </w:rPr>
              <w:tab/>
            </w:r>
            <w:r>
              <w:rPr>
                <w:noProof/>
                <w:webHidden/>
              </w:rPr>
              <w:fldChar w:fldCharType="begin"/>
            </w:r>
            <w:r>
              <w:rPr>
                <w:noProof/>
                <w:webHidden/>
              </w:rPr>
              <w:instrText xml:space="preserve"> PAGEREF _Toc62678971 \h </w:instrText>
            </w:r>
            <w:r>
              <w:rPr>
                <w:noProof/>
                <w:webHidden/>
              </w:rPr>
            </w:r>
            <w:r>
              <w:rPr>
                <w:noProof/>
                <w:webHidden/>
              </w:rPr>
              <w:fldChar w:fldCharType="separate"/>
            </w:r>
            <w:r w:rsidR="00923B29">
              <w:rPr>
                <w:noProof/>
                <w:webHidden/>
              </w:rPr>
              <w:t>8</w:t>
            </w:r>
            <w:r>
              <w:rPr>
                <w:noProof/>
                <w:webHidden/>
              </w:rPr>
              <w:fldChar w:fldCharType="end"/>
            </w:r>
          </w:hyperlink>
        </w:p>
        <w:p w14:paraId="2CC1F801" w14:textId="049F03E0" w:rsidR="00E34964" w:rsidRDefault="00E34964">
          <w:pPr>
            <w:pStyle w:val="TOC2"/>
            <w:tabs>
              <w:tab w:val="left" w:pos="880"/>
              <w:tab w:val="right" w:leader="dot" w:pos="9061"/>
            </w:tabs>
            <w:rPr>
              <w:rFonts w:asciiTheme="minorHAnsi" w:eastAsiaTheme="minorEastAsia" w:hAnsiTheme="minorHAnsi"/>
              <w:noProof/>
              <w:lang w:val="en-US"/>
            </w:rPr>
          </w:pPr>
          <w:hyperlink w:anchor="_Toc62678972" w:history="1">
            <w:r w:rsidRPr="00713CF4">
              <w:rPr>
                <w:rStyle w:val="Hyperlink"/>
                <w:noProof/>
              </w:rPr>
              <w:t>2.1</w:t>
            </w:r>
            <w:r>
              <w:rPr>
                <w:rFonts w:asciiTheme="minorHAnsi" w:eastAsiaTheme="minorEastAsia" w:hAnsiTheme="minorHAnsi"/>
                <w:noProof/>
                <w:lang w:val="en-US"/>
              </w:rPr>
              <w:tab/>
            </w:r>
            <w:r w:rsidRPr="00713CF4">
              <w:rPr>
                <w:rStyle w:val="Hyperlink"/>
                <w:noProof/>
              </w:rPr>
              <w:t>Sektor bankowy</w:t>
            </w:r>
            <w:r>
              <w:rPr>
                <w:noProof/>
                <w:webHidden/>
              </w:rPr>
              <w:tab/>
            </w:r>
            <w:r>
              <w:rPr>
                <w:noProof/>
                <w:webHidden/>
              </w:rPr>
              <w:fldChar w:fldCharType="begin"/>
            </w:r>
            <w:r>
              <w:rPr>
                <w:noProof/>
                <w:webHidden/>
              </w:rPr>
              <w:instrText xml:space="preserve"> PAGEREF _Toc62678972 \h </w:instrText>
            </w:r>
            <w:r>
              <w:rPr>
                <w:noProof/>
                <w:webHidden/>
              </w:rPr>
            </w:r>
            <w:r>
              <w:rPr>
                <w:noProof/>
                <w:webHidden/>
              </w:rPr>
              <w:fldChar w:fldCharType="separate"/>
            </w:r>
            <w:r w:rsidR="00923B29">
              <w:rPr>
                <w:noProof/>
                <w:webHidden/>
              </w:rPr>
              <w:t>8</w:t>
            </w:r>
            <w:r>
              <w:rPr>
                <w:noProof/>
                <w:webHidden/>
              </w:rPr>
              <w:fldChar w:fldCharType="end"/>
            </w:r>
          </w:hyperlink>
        </w:p>
        <w:p w14:paraId="285402C6" w14:textId="1E1015C1" w:rsidR="00E34964" w:rsidRDefault="00E34964">
          <w:pPr>
            <w:pStyle w:val="TOC2"/>
            <w:tabs>
              <w:tab w:val="left" w:pos="880"/>
              <w:tab w:val="right" w:leader="dot" w:pos="9061"/>
            </w:tabs>
            <w:rPr>
              <w:rFonts w:asciiTheme="minorHAnsi" w:eastAsiaTheme="minorEastAsia" w:hAnsiTheme="minorHAnsi"/>
              <w:noProof/>
              <w:lang w:val="en-US"/>
            </w:rPr>
          </w:pPr>
          <w:hyperlink w:anchor="_Toc62678973" w:history="1">
            <w:r w:rsidRPr="00713CF4">
              <w:rPr>
                <w:rStyle w:val="Hyperlink"/>
                <w:noProof/>
              </w:rPr>
              <w:t>2.2</w:t>
            </w:r>
            <w:r>
              <w:rPr>
                <w:rFonts w:asciiTheme="minorHAnsi" w:eastAsiaTheme="minorEastAsia" w:hAnsiTheme="minorHAnsi"/>
                <w:noProof/>
                <w:lang w:val="en-US"/>
              </w:rPr>
              <w:tab/>
            </w:r>
            <w:r w:rsidRPr="00713CF4">
              <w:rPr>
                <w:rStyle w:val="Hyperlink"/>
                <w:noProof/>
              </w:rPr>
              <w:t>Sektor pożyczkowy (pozabankowy)</w:t>
            </w:r>
            <w:r>
              <w:rPr>
                <w:noProof/>
                <w:webHidden/>
              </w:rPr>
              <w:tab/>
            </w:r>
            <w:r>
              <w:rPr>
                <w:noProof/>
                <w:webHidden/>
              </w:rPr>
              <w:fldChar w:fldCharType="begin"/>
            </w:r>
            <w:r>
              <w:rPr>
                <w:noProof/>
                <w:webHidden/>
              </w:rPr>
              <w:instrText xml:space="preserve"> PAGEREF _Toc62678973 \h </w:instrText>
            </w:r>
            <w:r>
              <w:rPr>
                <w:noProof/>
                <w:webHidden/>
              </w:rPr>
            </w:r>
            <w:r>
              <w:rPr>
                <w:noProof/>
                <w:webHidden/>
              </w:rPr>
              <w:fldChar w:fldCharType="separate"/>
            </w:r>
            <w:r w:rsidR="00923B29">
              <w:rPr>
                <w:noProof/>
                <w:webHidden/>
              </w:rPr>
              <w:t>9</w:t>
            </w:r>
            <w:r>
              <w:rPr>
                <w:noProof/>
                <w:webHidden/>
              </w:rPr>
              <w:fldChar w:fldCharType="end"/>
            </w:r>
          </w:hyperlink>
        </w:p>
        <w:p w14:paraId="39FB398D" w14:textId="4F8CE988" w:rsidR="00E34964" w:rsidRDefault="00E34964">
          <w:pPr>
            <w:pStyle w:val="TOC2"/>
            <w:tabs>
              <w:tab w:val="left" w:pos="880"/>
              <w:tab w:val="right" w:leader="dot" w:pos="9061"/>
            </w:tabs>
            <w:rPr>
              <w:rFonts w:asciiTheme="minorHAnsi" w:eastAsiaTheme="minorEastAsia" w:hAnsiTheme="minorHAnsi"/>
              <w:noProof/>
              <w:lang w:val="en-US"/>
            </w:rPr>
          </w:pPr>
          <w:hyperlink w:anchor="_Toc62678974" w:history="1">
            <w:r w:rsidRPr="00713CF4">
              <w:rPr>
                <w:rStyle w:val="Hyperlink"/>
                <w:noProof/>
              </w:rPr>
              <w:t>2.3</w:t>
            </w:r>
            <w:r>
              <w:rPr>
                <w:rFonts w:asciiTheme="minorHAnsi" w:eastAsiaTheme="minorEastAsia" w:hAnsiTheme="minorHAnsi"/>
                <w:noProof/>
                <w:lang w:val="en-US"/>
              </w:rPr>
              <w:tab/>
            </w:r>
            <w:r w:rsidRPr="00713CF4">
              <w:rPr>
                <w:rStyle w:val="Hyperlink"/>
                <w:noProof/>
              </w:rPr>
              <w:t>Kredyty mieszkaniowe</w:t>
            </w:r>
            <w:r>
              <w:rPr>
                <w:noProof/>
                <w:webHidden/>
              </w:rPr>
              <w:tab/>
            </w:r>
            <w:r>
              <w:rPr>
                <w:noProof/>
                <w:webHidden/>
              </w:rPr>
              <w:fldChar w:fldCharType="begin"/>
            </w:r>
            <w:r>
              <w:rPr>
                <w:noProof/>
                <w:webHidden/>
              </w:rPr>
              <w:instrText xml:space="preserve"> PAGEREF _Toc62678974 \h </w:instrText>
            </w:r>
            <w:r>
              <w:rPr>
                <w:noProof/>
                <w:webHidden/>
              </w:rPr>
            </w:r>
            <w:r>
              <w:rPr>
                <w:noProof/>
                <w:webHidden/>
              </w:rPr>
              <w:fldChar w:fldCharType="separate"/>
            </w:r>
            <w:r w:rsidR="00923B29">
              <w:rPr>
                <w:noProof/>
                <w:webHidden/>
              </w:rPr>
              <w:t>10</w:t>
            </w:r>
            <w:r>
              <w:rPr>
                <w:noProof/>
                <w:webHidden/>
              </w:rPr>
              <w:fldChar w:fldCharType="end"/>
            </w:r>
          </w:hyperlink>
        </w:p>
        <w:p w14:paraId="75DBA4F8" w14:textId="3933C6D4" w:rsidR="00E34964" w:rsidRDefault="00E34964">
          <w:pPr>
            <w:pStyle w:val="TOC2"/>
            <w:tabs>
              <w:tab w:val="left" w:pos="880"/>
              <w:tab w:val="right" w:leader="dot" w:pos="9061"/>
            </w:tabs>
            <w:rPr>
              <w:rFonts w:asciiTheme="minorHAnsi" w:eastAsiaTheme="minorEastAsia" w:hAnsiTheme="minorHAnsi"/>
              <w:noProof/>
              <w:lang w:val="en-US"/>
            </w:rPr>
          </w:pPr>
          <w:hyperlink w:anchor="_Toc62678975" w:history="1">
            <w:r w:rsidRPr="00713CF4">
              <w:rPr>
                <w:rStyle w:val="Hyperlink"/>
                <w:noProof/>
              </w:rPr>
              <w:t>2.4</w:t>
            </w:r>
            <w:r>
              <w:rPr>
                <w:rFonts w:asciiTheme="minorHAnsi" w:eastAsiaTheme="minorEastAsia" w:hAnsiTheme="minorHAnsi"/>
                <w:noProof/>
                <w:lang w:val="en-US"/>
              </w:rPr>
              <w:tab/>
            </w:r>
            <w:r w:rsidRPr="00713CF4">
              <w:rPr>
                <w:rStyle w:val="Hyperlink"/>
                <w:noProof/>
              </w:rPr>
              <w:t>Kredyt walutowy</w:t>
            </w:r>
            <w:r>
              <w:rPr>
                <w:noProof/>
                <w:webHidden/>
              </w:rPr>
              <w:tab/>
            </w:r>
            <w:r>
              <w:rPr>
                <w:noProof/>
                <w:webHidden/>
              </w:rPr>
              <w:fldChar w:fldCharType="begin"/>
            </w:r>
            <w:r>
              <w:rPr>
                <w:noProof/>
                <w:webHidden/>
              </w:rPr>
              <w:instrText xml:space="preserve"> PAGEREF _Toc62678975 \h </w:instrText>
            </w:r>
            <w:r>
              <w:rPr>
                <w:noProof/>
                <w:webHidden/>
              </w:rPr>
            </w:r>
            <w:r>
              <w:rPr>
                <w:noProof/>
                <w:webHidden/>
              </w:rPr>
              <w:fldChar w:fldCharType="separate"/>
            </w:r>
            <w:r w:rsidR="00923B29">
              <w:rPr>
                <w:noProof/>
                <w:webHidden/>
              </w:rPr>
              <w:t>12</w:t>
            </w:r>
            <w:r>
              <w:rPr>
                <w:noProof/>
                <w:webHidden/>
              </w:rPr>
              <w:fldChar w:fldCharType="end"/>
            </w:r>
          </w:hyperlink>
        </w:p>
        <w:p w14:paraId="0654BAA1" w14:textId="73FF5E02" w:rsidR="00E34964" w:rsidRDefault="00E34964">
          <w:pPr>
            <w:pStyle w:val="TOC1"/>
            <w:rPr>
              <w:rFonts w:asciiTheme="minorHAnsi" w:eastAsiaTheme="minorEastAsia" w:hAnsiTheme="minorHAnsi"/>
              <w:noProof/>
              <w:lang w:val="en-US"/>
            </w:rPr>
          </w:pPr>
          <w:hyperlink w:anchor="_Toc62678976" w:history="1">
            <w:r w:rsidRPr="00713CF4">
              <w:rPr>
                <w:rStyle w:val="Hyperlink"/>
                <w:noProof/>
              </w:rPr>
              <w:t>3</w:t>
            </w:r>
            <w:r>
              <w:rPr>
                <w:rFonts w:asciiTheme="minorHAnsi" w:eastAsiaTheme="minorEastAsia" w:hAnsiTheme="minorHAnsi"/>
                <w:noProof/>
                <w:lang w:val="en-US"/>
              </w:rPr>
              <w:tab/>
            </w:r>
            <w:r w:rsidRPr="00713CF4">
              <w:rPr>
                <w:rStyle w:val="Hyperlink"/>
                <w:noProof/>
              </w:rPr>
              <w:t>Rynek walutowy</w:t>
            </w:r>
            <w:r>
              <w:rPr>
                <w:noProof/>
                <w:webHidden/>
              </w:rPr>
              <w:tab/>
            </w:r>
            <w:r>
              <w:rPr>
                <w:noProof/>
                <w:webHidden/>
              </w:rPr>
              <w:fldChar w:fldCharType="begin"/>
            </w:r>
            <w:r>
              <w:rPr>
                <w:noProof/>
                <w:webHidden/>
              </w:rPr>
              <w:instrText xml:space="preserve"> PAGEREF _Toc62678976 \h </w:instrText>
            </w:r>
            <w:r>
              <w:rPr>
                <w:noProof/>
                <w:webHidden/>
              </w:rPr>
            </w:r>
            <w:r>
              <w:rPr>
                <w:noProof/>
                <w:webHidden/>
              </w:rPr>
              <w:fldChar w:fldCharType="separate"/>
            </w:r>
            <w:r w:rsidR="00923B29">
              <w:rPr>
                <w:noProof/>
                <w:webHidden/>
              </w:rPr>
              <w:t>15</w:t>
            </w:r>
            <w:r>
              <w:rPr>
                <w:noProof/>
                <w:webHidden/>
              </w:rPr>
              <w:fldChar w:fldCharType="end"/>
            </w:r>
          </w:hyperlink>
        </w:p>
        <w:p w14:paraId="7B8861C4" w14:textId="23A483B2" w:rsidR="00E34964" w:rsidRDefault="00E34964">
          <w:pPr>
            <w:pStyle w:val="TOC2"/>
            <w:tabs>
              <w:tab w:val="left" w:pos="880"/>
              <w:tab w:val="right" w:leader="dot" w:pos="9061"/>
            </w:tabs>
            <w:rPr>
              <w:rFonts w:asciiTheme="minorHAnsi" w:eastAsiaTheme="minorEastAsia" w:hAnsiTheme="minorHAnsi"/>
              <w:noProof/>
              <w:lang w:val="en-US"/>
            </w:rPr>
          </w:pPr>
          <w:hyperlink w:anchor="_Toc62678977" w:history="1">
            <w:r w:rsidRPr="00713CF4">
              <w:rPr>
                <w:rStyle w:val="Hyperlink"/>
                <w:noProof/>
              </w:rPr>
              <w:t>3.1</w:t>
            </w:r>
            <w:r>
              <w:rPr>
                <w:rFonts w:asciiTheme="minorHAnsi" w:eastAsiaTheme="minorEastAsia" w:hAnsiTheme="minorHAnsi"/>
                <w:noProof/>
                <w:lang w:val="en-US"/>
              </w:rPr>
              <w:tab/>
            </w:r>
            <w:r w:rsidRPr="00713CF4">
              <w:rPr>
                <w:rStyle w:val="Hyperlink"/>
                <w:noProof/>
              </w:rPr>
              <w:t>Źródła danych</w:t>
            </w:r>
            <w:r>
              <w:rPr>
                <w:noProof/>
                <w:webHidden/>
              </w:rPr>
              <w:tab/>
            </w:r>
            <w:r>
              <w:rPr>
                <w:noProof/>
                <w:webHidden/>
              </w:rPr>
              <w:fldChar w:fldCharType="begin"/>
            </w:r>
            <w:r>
              <w:rPr>
                <w:noProof/>
                <w:webHidden/>
              </w:rPr>
              <w:instrText xml:space="preserve"> PAGEREF _Toc62678977 \h </w:instrText>
            </w:r>
            <w:r>
              <w:rPr>
                <w:noProof/>
                <w:webHidden/>
              </w:rPr>
            </w:r>
            <w:r>
              <w:rPr>
                <w:noProof/>
                <w:webHidden/>
              </w:rPr>
              <w:fldChar w:fldCharType="separate"/>
            </w:r>
            <w:r w:rsidR="00923B29">
              <w:rPr>
                <w:noProof/>
                <w:webHidden/>
              </w:rPr>
              <w:t>18</w:t>
            </w:r>
            <w:r>
              <w:rPr>
                <w:noProof/>
                <w:webHidden/>
              </w:rPr>
              <w:fldChar w:fldCharType="end"/>
            </w:r>
          </w:hyperlink>
        </w:p>
        <w:p w14:paraId="3A1B8DA5" w14:textId="025065EA" w:rsidR="00E34964" w:rsidRDefault="00E34964">
          <w:pPr>
            <w:pStyle w:val="TOC3"/>
            <w:tabs>
              <w:tab w:val="left" w:pos="1320"/>
              <w:tab w:val="right" w:leader="dot" w:pos="9061"/>
            </w:tabs>
            <w:rPr>
              <w:rFonts w:asciiTheme="minorHAnsi" w:eastAsiaTheme="minorEastAsia" w:hAnsiTheme="minorHAnsi"/>
              <w:noProof/>
              <w:lang w:val="en-US"/>
            </w:rPr>
          </w:pPr>
          <w:hyperlink w:anchor="_Toc62678978" w:history="1">
            <w:r w:rsidRPr="00713CF4">
              <w:rPr>
                <w:rStyle w:val="Hyperlink"/>
                <w:noProof/>
              </w:rPr>
              <w:t>3.1.1</w:t>
            </w:r>
            <w:r>
              <w:rPr>
                <w:rFonts w:asciiTheme="minorHAnsi" w:eastAsiaTheme="minorEastAsia" w:hAnsiTheme="minorHAnsi"/>
                <w:noProof/>
                <w:lang w:val="en-US"/>
              </w:rPr>
              <w:tab/>
            </w:r>
            <w:r w:rsidRPr="00713CF4">
              <w:rPr>
                <w:rStyle w:val="Hyperlink"/>
                <w:noProof/>
              </w:rPr>
              <w:t>Dane z NBP Web API</w:t>
            </w:r>
            <w:r>
              <w:rPr>
                <w:noProof/>
                <w:webHidden/>
              </w:rPr>
              <w:tab/>
            </w:r>
            <w:r>
              <w:rPr>
                <w:noProof/>
                <w:webHidden/>
              </w:rPr>
              <w:fldChar w:fldCharType="begin"/>
            </w:r>
            <w:r>
              <w:rPr>
                <w:noProof/>
                <w:webHidden/>
              </w:rPr>
              <w:instrText xml:space="preserve"> PAGEREF _Toc62678978 \h </w:instrText>
            </w:r>
            <w:r>
              <w:rPr>
                <w:noProof/>
                <w:webHidden/>
              </w:rPr>
            </w:r>
            <w:r>
              <w:rPr>
                <w:noProof/>
                <w:webHidden/>
              </w:rPr>
              <w:fldChar w:fldCharType="separate"/>
            </w:r>
            <w:r w:rsidR="00923B29">
              <w:rPr>
                <w:noProof/>
                <w:webHidden/>
              </w:rPr>
              <w:t>19</w:t>
            </w:r>
            <w:r>
              <w:rPr>
                <w:noProof/>
                <w:webHidden/>
              </w:rPr>
              <w:fldChar w:fldCharType="end"/>
            </w:r>
          </w:hyperlink>
        </w:p>
        <w:p w14:paraId="4E15CD14" w14:textId="16CF43EB" w:rsidR="00E34964" w:rsidRDefault="00E34964">
          <w:pPr>
            <w:pStyle w:val="TOC3"/>
            <w:tabs>
              <w:tab w:val="left" w:pos="1320"/>
              <w:tab w:val="right" w:leader="dot" w:pos="9061"/>
            </w:tabs>
            <w:rPr>
              <w:rFonts w:asciiTheme="minorHAnsi" w:eastAsiaTheme="minorEastAsia" w:hAnsiTheme="minorHAnsi"/>
              <w:noProof/>
              <w:lang w:val="en-US"/>
            </w:rPr>
          </w:pPr>
          <w:hyperlink w:anchor="_Toc62678979" w:history="1">
            <w:r w:rsidRPr="00713CF4">
              <w:rPr>
                <w:rStyle w:val="Hyperlink"/>
                <w:noProof/>
              </w:rPr>
              <w:t>3.1.2</w:t>
            </w:r>
            <w:r>
              <w:rPr>
                <w:rFonts w:asciiTheme="minorHAnsi" w:eastAsiaTheme="minorEastAsia" w:hAnsiTheme="minorHAnsi"/>
                <w:noProof/>
                <w:lang w:val="en-US"/>
              </w:rPr>
              <w:tab/>
            </w:r>
            <w:r w:rsidRPr="00713CF4">
              <w:rPr>
                <w:rStyle w:val="Hyperlink"/>
                <w:noProof/>
              </w:rPr>
              <w:t>Inne serwisy walutowe</w:t>
            </w:r>
            <w:r>
              <w:rPr>
                <w:noProof/>
                <w:webHidden/>
              </w:rPr>
              <w:tab/>
            </w:r>
            <w:r>
              <w:rPr>
                <w:noProof/>
                <w:webHidden/>
              </w:rPr>
              <w:fldChar w:fldCharType="begin"/>
            </w:r>
            <w:r>
              <w:rPr>
                <w:noProof/>
                <w:webHidden/>
              </w:rPr>
              <w:instrText xml:space="preserve"> PAGEREF _Toc62678979 \h </w:instrText>
            </w:r>
            <w:r>
              <w:rPr>
                <w:noProof/>
                <w:webHidden/>
              </w:rPr>
            </w:r>
            <w:r>
              <w:rPr>
                <w:noProof/>
                <w:webHidden/>
              </w:rPr>
              <w:fldChar w:fldCharType="separate"/>
            </w:r>
            <w:r w:rsidR="00923B29">
              <w:rPr>
                <w:noProof/>
                <w:webHidden/>
              </w:rPr>
              <w:t>19</w:t>
            </w:r>
            <w:r>
              <w:rPr>
                <w:noProof/>
                <w:webHidden/>
              </w:rPr>
              <w:fldChar w:fldCharType="end"/>
            </w:r>
          </w:hyperlink>
        </w:p>
        <w:p w14:paraId="356965D0" w14:textId="028C931F" w:rsidR="00E34964" w:rsidRDefault="00E34964">
          <w:pPr>
            <w:pStyle w:val="TOC1"/>
            <w:rPr>
              <w:rFonts w:asciiTheme="minorHAnsi" w:eastAsiaTheme="minorEastAsia" w:hAnsiTheme="minorHAnsi"/>
              <w:noProof/>
              <w:lang w:val="en-US"/>
            </w:rPr>
          </w:pPr>
          <w:hyperlink w:anchor="_Toc62678980" w:history="1">
            <w:r w:rsidRPr="00713CF4">
              <w:rPr>
                <w:rStyle w:val="Hyperlink"/>
                <w:noProof/>
              </w:rPr>
              <w:t>4</w:t>
            </w:r>
            <w:r>
              <w:rPr>
                <w:rFonts w:asciiTheme="minorHAnsi" w:eastAsiaTheme="minorEastAsia" w:hAnsiTheme="minorHAnsi"/>
                <w:noProof/>
                <w:lang w:val="en-US"/>
              </w:rPr>
              <w:tab/>
            </w:r>
            <w:r w:rsidRPr="00713CF4">
              <w:rPr>
                <w:rStyle w:val="Hyperlink"/>
                <w:noProof/>
              </w:rPr>
              <w:t>Metody analizy danych</w:t>
            </w:r>
            <w:r>
              <w:rPr>
                <w:noProof/>
                <w:webHidden/>
              </w:rPr>
              <w:tab/>
            </w:r>
            <w:r>
              <w:rPr>
                <w:noProof/>
                <w:webHidden/>
              </w:rPr>
              <w:fldChar w:fldCharType="begin"/>
            </w:r>
            <w:r>
              <w:rPr>
                <w:noProof/>
                <w:webHidden/>
              </w:rPr>
              <w:instrText xml:space="preserve"> PAGEREF _Toc62678980 \h </w:instrText>
            </w:r>
            <w:r>
              <w:rPr>
                <w:noProof/>
                <w:webHidden/>
              </w:rPr>
            </w:r>
            <w:r>
              <w:rPr>
                <w:noProof/>
                <w:webHidden/>
              </w:rPr>
              <w:fldChar w:fldCharType="separate"/>
            </w:r>
            <w:r w:rsidR="00923B29">
              <w:rPr>
                <w:noProof/>
                <w:webHidden/>
              </w:rPr>
              <w:t>21</w:t>
            </w:r>
            <w:r>
              <w:rPr>
                <w:noProof/>
                <w:webHidden/>
              </w:rPr>
              <w:fldChar w:fldCharType="end"/>
            </w:r>
          </w:hyperlink>
        </w:p>
        <w:p w14:paraId="2773A578" w14:textId="7780FD72" w:rsidR="00E34964" w:rsidRDefault="00E34964">
          <w:pPr>
            <w:pStyle w:val="TOC2"/>
            <w:tabs>
              <w:tab w:val="left" w:pos="880"/>
              <w:tab w:val="right" w:leader="dot" w:pos="9061"/>
            </w:tabs>
            <w:rPr>
              <w:rFonts w:asciiTheme="minorHAnsi" w:eastAsiaTheme="minorEastAsia" w:hAnsiTheme="minorHAnsi"/>
              <w:noProof/>
              <w:lang w:val="en-US"/>
            </w:rPr>
          </w:pPr>
          <w:hyperlink w:anchor="_Toc62678981" w:history="1">
            <w:r w:rsidRPr="00713CF4">
              <w:rPr>
                <w:rStyle w:val="Hyperlink"/>
                <w:noProof/>
                <w:lang w:val="de-DE"/>
              </w:rPr>
              <w:t>4.1</w:t>
            </w:r>
            <w:r>
              <w:rPr>
                <w:rFonts w:asciiTheme="minorHAnsi" w:eastAsiaTheme="minorEastAsia" w:hAnsiTheme="minorHAnsi"/>
                <w:noProof/>
                <w:lang w:val="en-US"/>
              </w:rPr>
              <w:tab/>
            </w:r>
            <w:r w:rsidRPr="00713CF4">
              <w:rPr>
                <w:rStyle w:val="Hyperlink"/>
                <w:noProof/>
                <w:lang w:val="de-DE"/>
              </w:rPr>
              <w:t>Moduł statsmodels - model ARIMA</w:t>
            </w:r>
            <w:r>
              <w:rPr>
                <w:noProof/>
                <w:webHidden/>
              </w:rPr>
              <w:tab/>
            </w:r>
            <w:r>
              <w:rPr>
                <w:noProof/>
                <w:webHidden/>
              </w:rPr>
              <w:fldChar w:fldCharType="begin"/>
            </w:r>
            <w:r>
              <w:rPr>
                <w:noProof/>
                <w:webHidden/>
              </w:rPr>
              <w:instrText xml:space="preserve"> PAGEREF _Toc62678981 \h </w:instrText>
            </w:r>
            <w:r>
              <w:rPr>
                <w:noProof/>
                <w:webHidden/>
              </w:rPr>
            </w:r>
            <w:r>
              <w:rPr>
                <w:noProof/>
                <w:webHidden/>
              </w:rPr>
              <w:fldChar w:fldCharType="separate"/>
            </w:r>
            <w:r w:rsidR="00923B29">
              <w:rPr>
                <w:noProof/>
                <w:webHidden/>
              </w:rPr>
              <w:t>21</w:t>
            </w:r>
            <w:r>
              <w:rPr>
                <w:noProof/>
                <w:webHidden/>
              </w:rPr>
              <w:fldChar w:fldCharType="end"/>
            </w:r>
          </w:hyperlink>
        </w:p>
        <w:p w14:paraId="1A9FBC52" w14:textId="3E0087FE" w:rsidR="00E34964" w:rsidRDefault="00E34964">
          <w:pPr>
            <w:pStyle w:val="TOC2"/>
            <w:tabs>
              <w:tab w:val="left" w:pos="880"/>
              <w:tab w:val="right" w:leader="dot" w:pos="9061"/>
            </w:tabs>
            <w:rPr>
              <w:rFonts w:asciiTheme="minorHAnsi" w:eastAsiaTheme="minorEastAsia" w:hAnsiTheme="minorHAnsi"/>
              <w:noProof/>
              <w:lang w:val="en-US"/>
            </w:rPr>
          </w:pPr>
          <w:hyperlink w:anchor="_Toc62678982" w:history="1">
            <w:r w:rsidRPr="00713CF4">
              <w:rPr>
                <w:rStyle w:val="Hyperlink"/>
                <w:noProof/>
              </w:rPr>
              <w:t>4.2</w:t>
            </w:r>
            <w:r>
              <w:rPr>
                <w:rFonts w:asciiTheme="minorHAnsi" w:eastAsiaTheme="minorEastAsia" w:hAnsiTheme="minorHAnsi"/>
                <w:noProof/>
                <w:lang w:val="en-US"/>
              </w:rPr>
              <w:tab/>
            </w:r>
            <w:r w:rsidRPr="00713CF4">
              <w:rPr>
                <w:rStyle w:val="Hyperlink"/>
                <w:noProof/>
              </w:rPr>
              <w:t>Badania</w:t>
            </w:r>
            <w:r>
              <w:rPr>
                <w:noProof/>
                <w:webHidden/>
              </w:rPr>
              <w:tab/>
            </w:r>
            <w:r>
              <w:rPr>
                <w:noProof/>
                <w:webHidden/>
              </w:rPr>
              <w:fldChar w:fldCharType="begin"/>
            </w:r>
            <w:r>
              <w:rPr>
                <w:noProof/>
                <w:webHidden/>
              </w:rPr>
              <w:instrText xml:space="preserve"> PAGEREF _Toc62678982 \h </w:instrText>
            </w:r>
            <w:r>
              <w:rPr>
                <w:noProof/>
                <w:webHidden/>
              </w:rPr>
            </w:r>
            <w:r>
              <w:rPr>
                <w:noProof/>
                <w:webHidden/>
              </w:rPr>
              <w:fldChar w:fldCharType="separate"/>
            </w:r>
            <w:r w:rsidR="00923B29">
              <w:rPr>
                <w:noProof/>
                <w:webHidden/>
              </w:rPr>
              <w:t>21</w:t>
            </w:r>
            <w:r>
              <w:rPr>
                <w:noProof/>
                <w:webHidden/>
              </w:rPr>
              <w:fldChar w:fldCharType="end"/>
            </w:r>
          </w:hyperlink>
        </w:p>
        <w:p w14:paraId="7D085374" w14:textId="53B22A1D" w:rsidR="00E34964" w:rsidRDefault="00E34964">
          <w:pPr>
            <w:pStyle w:val="TOC1"/>
            <w:rPr>
              <w:rFonts w:asciiTheme="minorHAnsi" w:eastAsiaTheme="minorEastAsia" w:hAnsiTheme="minorHAnsi"/>
              <w:noProof/>
              <w:lang w:val="en-US"/>
            </w:rPr>
          </w:pPr>
          <w:hyperlink w:anchor="_Toc62678983" w:history="1">
            <w:r w:rsidRPr="00713CF4">
              <w:rPr>
                <w:rStyle w:val="Hyperlink"/>
                <w:noProof/>
              </w:rPr>
              <w:t>5</w:t>
            </w:r>
            <w:r>
              <w:rPr>
                <w:rFonts w:asciiTheme="minorHAnsi" w:eastAsiaTheme="minorEastAsia" w:hAnsiTheme="minorHAnsi"/>
                <w:noProof/>
                <w:lang w:val="en-US"/>
              </w:rPr>
              <w:tab/>
            </w:r>
            <w:r w:rsidRPr="00713CF4">
              <w:rPr>
                <w:rStyle w:val="Hyperlink"/>
                <w:noProof/>
              </w:rPr>
              <w:t>Opis systemu</w:t>
            </w:r>
            <w:r>
              <w:rPr>
                <w:noProof/>
                <w:webHidden/>
              </w:rPr>
              <w:tab/>
            </w:r>
            <w:r>
              <w:rPr>
                <w:noProof/>
                <w:webHidden/>
              </w:rPr>
              <w:fldChar w:fldCharType="begin"/>
            </w:r>
            <w:r>
              <w:rPr>
                <w:noProof/>
                <w:webHidden/>
              </w:rPr>
              <w:instrText xml:space="preserve"> PAGEREF _Toc62678983 \h </w:instrText>
            </w:r>
            <w:r>
              <w:rPr>
                <w:noProof/>
                <w:webHidden/>
              </w:rPr>
            </w:r>
            <w:r>
              <w:rPr>
                <w:noProof/>
                <w:webHidden/>
              </w:rPr>
              <w:fldChar w:fldCharType="separate"/>
            </w:r>
            <w:r w:rsidR="00923B29">
              <w:rPr>
                <w:noProof/>
                <w:webHidden/>
              </w:rPr>
              <w:t>22</w:t>
            </w:r>
            <w:r>
              <w:rPr>
                <w:noProof/>
                <w:webHidden/>
              </w:rPr>
              <w:fldChar w:fldCharType="end"/>
            </w:r>
          </w:hyperlink>
        </w:p>
        <w:p w14:paraId="437675C9" w14:textId="1779CCB5" w:rsidR="00E34964" w:rsidRDefault="00E34964">
          <w:pPr>
            <w:pStyle w:val="TOC1"/>
            <w:rPr>
              <w:rFonts w:asciiTheme="minorHAnsi" w:eastAsiaTheme="minorEastAsia" w:hAnsiTheme="minorHAnsi"/>
              <w:noProof/>
              <w:lang w:val="en-US"/>
            </w:rPr>
          </w:pPr>
          <w:hyperlink w:anchor="_Toc62678984" w:history="1">
            <w:r w:rsidRPr="00713CF4">
              <w:rPr>
                <w:rStyle w:val="Hyperlink"/>
                <w:noProof/>
              </w:rPr>
              <w:t>6</w:t>
            </w:r>
            <w:r>
              <w:rPr>
                <w:rFonts w:asciiTheme="minorHAnsi" w:eastAsiaTheme="minorEastAsia" w:hAnsiTheme="minorHAnsi"/>
                <w:noProof/>
                <w:lang w:val="en-US"/>
              </w:rPr>
              <w:tab/>
            </w:r>
            <w:r w:rsidRPr="00713CF4">
              <w:rPr>
                <w:rStyle w:val="Hyperlink"/>
                <w:noProof/>
              </w:rPr>
              <w:t>Wyniki</w:t>
            </w:r>
            <w:r>
              <w:rPr>
                <w:noProof/>
                <w:webHidden/>
              </w:rPr>
              <w:tab/>
            </w:r>
            <w:r>
              <w:rPr>
                <w:noProof/>
                <w:webHidden/>
              </w:rPr>
              <w:fldChar w:fldCharType="begin"/>
            </w:r>
            <w:r>
              <w:rPr>
                <w:noProof/>
                <w:webHidden/>
              </w:rPr>
              <w:instrText xml:space="preserve"> PAGEREF _Toc62678984 \h </w:instrText>
            </w:r>
            <w:r>
              <w:rPr>
                <w:noProof/>
                <w:webHidden/>
              </w:rPr>
            </w:r>
            <w:r>
              <w:rPr>
                <w:noProof/>
                <w:webHidden/>
              </w:rPr>
              <w:fldChar w:fldCharType="separate"/>
            </w:r>
            <w:r w:rsidR="00923B29">
              <w:rPr>
                <w:noProof/>
                <w:webHidden/>
              </w:rPr>
              <w:t>23</w:t>
            </w:r>
            <w:r>
              <w:rPr>
                <w:noProof/>
                <w:webHidden/>
              </w:rPr>
              <w:fldChar w:fldCharType="end"/>
            </w:r>
          </w:hyperlink>
        </w:p>
        <w:p w14:paraId="3291888C" w14:textId="73699615" w:rsidR="00E34964" w:rsidRDefault="00E34964">
          <w:pPr>
            <w:pStyle w:val="TOC1"/>
            <w:rPr>
              <w:rFonts w:asciiTheme="minorHAnsi" w:eastAsiaTheme="minorEastAsia" w:hAnsiTheme="minorHAnsi"/>
              <w:noProof/>
              <w:lang w:val="en-US"/>
            </w:rPr>
          </w:pPr>
          <w:hyperlink w:anchor="_Toc62678985" w:history="1">
            <w:r w:rsidRPr="00713CF4">
              <w:rPr>
                <w:rStyle w:val="Hyperlink"/>
                <w:noProof/>
              </w:rPr>
              <w:t>7</w:t>
            </w:r>
            <w:r>
              <w:rPr>
                <w:rFonts w:asciiTheme="minorHAnsi" w:eastAsiaTheme="minorEastAsia" w:hAnsiTheme="minorHAnsi"/>
                <w:noProof/>
                <w:lang w:val="en-US"/>
              </w:rPr>
              <w:tab/>
            </w:r>
            <w:r w:rsidRPr="00713CF4">
              <w:rPr>
                <w:rStyle w:val="Hyperlink"/>
                <w:noProof/>
              </w:rPr>
              <w:t>Wnioski</w:t>
            </w:r>
            <w:r>
              <w:rPr>
                <w:noProof/>
                <w:webHidden/>
              </w:rPr>
              <w:tab/>
            </w:r>
            <w:r>
              <w:rPr>
                <w:noProof/>
                <w:webHidden/>
              </w:rPr>
              <w:fldChar w:fldCharType="begin"/>
            </w:r>
            <w:r>
              <w:rPr>
                <w:noProof/>
                <w:webHidden/>
              </w:rPr>
              <w:instrText xml:space="preserve"> PAGEREF _Toc62678985 \h </w:instrText>
            </w:r>
            <w:r>
              <w:rPr>
                <w:noProof/>
                <w:webHidden/>
              </w:rPr>
            </w:r>
            <w:r>
              <w:rPr>
                <w:noProof/>
                <w:webHidden/>
              </w:rPr>
              <w:fldChar w:fldCharType="separate"/>
            </w:r>
            <w:r w:rsidR="00923B29">
              <w:rPr>
                <w:noProof/>
                <w:webHidden/>
              </w:rPr>
              <w:t>24</w:t>
            </w:r>
            <w:r>
              <w:rPr>
                <w:noProof/>
                <w:webHidden/>
              </w:rPr>
              <w:fldChar w:fldCharType="end"/>
            </w:r>
          </w:hyperlink>
        </w:p>
        <w:p w14:paraId="14302540" w14:textId="4DC31B71" w:rsidR="00E34964" w:rsidRDefault="00E34964">
          <w:pPr>
            <w:pStyle w:val="TOC1"/>
            <w:rPr>
              <w:rFonts w:asciiTheme="minorHAnsi" w:eastAsiaTheme="minorEastAsia" w:hAnsiTheme="minorHAnsi"/>
              <w:noProof/>
              <w:lang w:val="en-US"/>
            </w:rPr>
          </w:pPr>
          <w:hyperlink w:anchor="_Toc62678986" w:history="1">
            <w:r w:rsidRPr="00713CF4">
              <w:rPr>
                <w:rStyle w:val="Hyperlink"/>
                <w:noProof/>
              </w:rPr>
              <w:t>8</w:t>
            </w:r>
            <w:r>
              <w:rPr>
                <w:rFonts w:asciiTheme="minorHAnsi" w:eastAsiaTheme="minorEastAsia" w:hAnsiTheme="minorHAnsi"/>
                <w:noProof/>
                <w:lang w:val="en-US"/>
              </w:rPr>
              <w:tab/>
            </w:r>
            <w:r w:rsidRPr="00713CF4">
              <w:rPr>
                <w:rStyle w:val="Hyperlink"/>
                <w:noProof/>
              </w:rPr>
              <w:t>Bibliografia</w:t>
            </w:r>
            <w:r>
              <w:rPr>
                <w:noProof/>
                <w:webHidden/>
              </w:rPr>
              <w:tab/>
            </w:r>
            <w:r>
              <w:rPr>
                <w:noProof/>
                <w:webHidden/>
              </w:rPr>
              <w:fldChar w:fldCharType="begin"/>
            </w:r>
            <w:r>
              <w:rPr>
                <w:noProof/>
                <w:webHidden/>
              </w:rPr>
              <w:instrText xml:space="preserve"> PAGEREF _Toc62678986 \h </w:instrText>
            </w:r>
            <w:r>
              <w:rPr>
                <w:noProof/>
                <w:webHidden/>
              </w:rPr>
            </w:r>
            <w:r>
              <w:rPr>
                <w:noProof/>
                <w:webHidden/>
              </w:rPr>
              <w:fldChar w:fldCharType="separate"/>
            </w:r>
            <w:r w:rsidR="00923B29">
              <w:rPr>
                <w:noProof/>
                <w:webHidden/>
              </w:rPr>
              <w:t>25</w:t>
            </w:r>
            <w:r>
              <w:rPr>
                <w:noProof/>
                <w:webHidden/>
              </w:rPr>
              <w:fldChar w:fldCharType="end"/>
            </w:r>
          </w:hyperlink>
        </w:p>
        <w:p w14:paraId="1611B92E" w14:textId="1DD00303" w:rsidR="00E34964" w:rsidRDefault="00E34964">
          <w:pPr>
            <w:pStyle w:val="TOC1"/>
            <w:rPr>
              <w:rFonts w:asciiTheme="minorHAnsi" w:eastAsiaTheme="minorEastAsia" w:hAnsiTheme="minorHAnsi"/>
              <w:noProof/>
              <w:lang w:val="en-US"/>
            </w:rPr>
          </w:pPr>
          <w:hyperlink w:anchor="_Toc62678987" w:history="1">
            <w:r w:rsidRPr="00713CF4">
              <w:rPr>
                <w:rStyle w:val="Hyperlink"/>
                <w:noProof/>
              </w:rPr>
              <w:t>9</w:t>
            </w:r>
            <w:r>
              <w:rPr>
                <w:rFonts w:asciiTheme="minorHAnsi" w:eastAsiaTheme="minorEastAsia" w:hAnsiTheme="minorHAnsi"/>
                <w:noProof/>
                <w:lang w:val="en-US"/>
              </w:rPr>
              <w:tab/>
            </w:r>
            <w:r w:rsidRPr="00713CF4">
              <w:rPr>
                <w:rStyle w:val="Hyperlink"/>
                <w:noProof/>
              </w:rPr>
              <w:t>Wykaz symboli i skrótów</w:t>
            </w:r>
            <w:r>
              <w:rPr>
                <w:noProof/>
                <w:webHidden/>
              </w:rPr>
              <w:tab/>
            </w:r>
            <w:r>
              <w:rPr>
                <w:noProof/>
                <w:webHidden/>
              </w:rPr>
              <w:fldChar w:fldCharType="begin"/>
            </w:r>
            <w:r>
              <w:rPr>
                <w:noProof/>
                <w:webHidden/>
              </w:rPr>
              <w:instrText xml:space="preserve"> PAGEREF _Toc62678987 \h </w:instrText>
            </w:r>
            <w:r>
              <w:rPr>
                <w:noProof/>
                <w:webHidden/>
              </w:rPr>
            </w:r>
            <w:r>
              <w:rPr>
                <w:noProof/>
                <w:webHidden/>
              </w:rPr>
              <w:fldChar w:fldCharType="separate"/>
            </w:r>
            <w:r w:rsidR="00923B29">
              <w:rPr>
                <w:noProof/>
                <w:webHidden/>
              </w:rPr>
              <w:t>26</w:t>
            </w:r>
            <w:r>
              <w:rPr>
                <w:noProof/>
                <w:webHidden/>
              </w:rPr>
              <w:fldChar w:fldCharType="end"/>
            </w:r>
          </w:hyperlink>
        </w:p>
        <w:p w14:paraId="40F9E4A4" w14:textId="1D3E7102" w:rsidR="00E34964" w:rsidRDefault="00E34964">
          <w:pPr>
            <w:pStyle w:val="TOC1"/>
            <w:rPr>
              <w:rFonts w:asciiTheme="minorHAnsi" w:eastAsiaTheme="minorEastAsia" w:hAnsiTheme="minorHAnsi"/>
              <w:noProof/>
              <w:lang w:val="en-US"/>
            </w:rPr>
          </w:pPr>
          <w:hyperlink w:anchor="_Toc62678988" w:history="1">
            <w:r w:rsidRPr="00713CF4">
              <w:rPr>
                <w:rStyle w:val="Hyperlink"/>
                <w:noProof/>
              </w:rPr>
              <w:t>10</w:t>
            </w:r>
            <w:r>
              <w:rPr>
                <w:rFonts w:asciiTheme="minorHAnsi" w:eastAsiaTheme="minorEastAsia" w:hAnsiTheme="minorHAnsi"/>
                <w:noProof/>
                <w:lang w:val="en-US"/>
              </w:rPr>
              <w:tab/>
            </w:r>
            <w:r w:rsidRPr="00713CF4">
              <w:rPr>
                <w:rStyle w:val="Hyperlink"/>
                <w:noProof/>
              </w:rPr>
              <w:t>Spis rysunków</w:t>
            </w:r>
            <w:r>
              <w:rPr>
                <w:noProof/>
                <w:webHidden/>
              </w:rPr>
              <w:tab/>
            </w:r>
            <w:r>
              <w:rPr>
                <w:noProof/>
                <w:webHidden/>
              </w:rPr>
              <w:fldChar w:fldCharType="begin"/>
            </w:r>
            <w:r>
              <w:rPr>
                <w:noProof/>
                <w:webHidden/>
              </w:rPr>
              <w:instrText xml:space="preserve"> PAGEREF _Toc62678988 \h </w:instrText>
            </w:r>
            <w:r>
              <w:rPr>
                <w:noProof/>
                <w:webHidden/>
              </w:rPr>
            </w:r>
            <w:r>
              <w:rPr>
                <w:noProof/>
                <w:webHidden/>
              </w:rPr>
              <w:fldChar w:fldCharType="separate"/>
            </w:r>
            <w:r w:rsidR="00923B29">
              <w:rPr>
                <w:noProof/>
                <w:webHidden/>
              </w:rPr>
              <w:t>27</w:t>
            </w:r>
            <w:r>
              <w:rPr>
                <w:noProof/>
                <w:webHidden/>
              </w:rPr>
              <w:fldChar w:fldCharType="end"/>
            </w:r>
          </w:hyperlink>
        </w:p>
        <w:p w14:paraId="4DC533A1" w14:textId="3FDEC069" w:rsidR="00E34964" w:rsidRDefault="00E34964">
          <w:pPr>
            <w:pStyle w:val="TOC1"/>
            <w:rPr>
              <w:rFonts w:asciiTheme="minorHAnsi" w:eastAsiaTheme="minorEastAsia" w:hAnsiTheme="minorHAnsi"/>
              <w:noProof/>
              <w:lang w:val="en-US"/>
            </w:rPr>
          </w:pPr>
          <w:hyperlink w:anchor="_Toc62678989" w:history="1">
            <w:r w:rsidRPr="00713CF4">
              <w:rPr>
                <w:rStyle w:val="Hyperlink"/>
                <w:noProof/>
              </w:rPr>
              <w:t>11</w:t>
            </w:r>
            <w:r>
              <w:rPr>
                <w:rFonts w:asciiTheme="minorHAnsi" w:eastAsiaTheme="minorEastAsia" w:hAnsiTheme="minorHAnsi"/>
                <w:noProof/>
                <w:lang w:val="en-US"/>
              </w:rPr>
              <w:tab/>
            </w:r>
            <w:r w:rsidRPr="00713CF4">
              <w:rPr>
                <w:rStyle w:val="Hyperlink"/>
                <w:noProof/>
              </w:rPr>
              <w:t>Spis tabel</w:t>
            </w:r>
            <w:r>
              <w:rPr>
                <w:noProof/>
                <w:webHidden/>
              </w:rPr>
              <w:tab/>
            </w:r>
            <w:r>
              <w:rPr>
                <w:noProof/>
                <w:webHidden/>
              </w:rPr>
              <w:fldChar w:fldCharType="begin"/>
            </w:r>
            <w:r>
              <w:rPr>
                <w:noProof/>
                <w:webHidden/>
              </w:rPr>
              <w:instrText xml:space="preserve"> PAGEREF _Toc62678989 \h </w:instrText>
            </w:r>
            <w:r>
              <w:rPr>
                <w:noProof/>
                <w:webHidden/>
              </w:rPr>
            </w:r>
            <w:r>
              <w:rPr>
                <w:noProof/>
                <w:webHidden/>
              </w:rPr>
              <w:fldChar w:fldCharType="separate"/>
            </w:r>
            <w:r w:rsidR="00923B29">
              <w:rPr>
                <w:noProof/>
                <w:webHidden/>
              </w:rPr>
              <w:t>28</w:t>
            </w:r>
            <w:r>
              <w:rPr>
                <w:noProof/>
                <w:webHidden/>
              </w:rPr>
              <w:fldChar w:fldCharType="end"/>
            </w:r>
          </w:hyperlink>
        </w:p>
        <w:p w14:paraId="215A8F57" w14:textId="0B6BC0D4" w:rsidR="00E34964" w:rsidRDefault="00E34964">
          <w:pPr>
            <w:pStyle w:val="TOC1"/>
            <w:rPr>
              <w:rFonts w:asciiTheme="minorHAnsi" w:eastAsiaTheme="minorEastAsia" w:hAnsiTheme="minorHAnsi"/>
              <w:noProof/>
              <w:lang w:val="en-US"/>
            </w:rPr>
          </w:pPr>
          <w:hyperlink w:anchor="_Toc62678990" w:history="1">
            <w:r w:rsidRPr="00713CF4">
              <w:rPr>
                <w:rStyle w:val="Hyperlink"/>
                <w:noProof/>
              </w:rPr>
              <w:t>12</w:t>
            </w:r>
            <w:r>
              <w:rPr>
                <w:rFonts w:asciiTheme="minorHAnsi" w:eastAsiaTheme="minorEastAsia" w:hAnsiTheme="minorHAnsi"/>
                <w:noProof/>
                <w:lang w:val="en-US"/>
              </w:rPr>
              <w:tab/>
            </w:r>
            <w:r w:rsidRPr="00713CF4">
              <w:rPr>
                <w:rStyle w:val="Hyperlink"/>
                <w:noProof/>
              </w:rPr>
              <w:t>Spis załączników</w:t>
            </w:r>
            <w:r>
              <w:rPr>
                <w:noProof/>
                <w:webHidden/>
              </w:rPr>
              <w:tab/>
            </w:r>
            <w:r>
              <w:rPr>
                <w:noProof/>
                <w:webHidden/>
              </w:rPr>
              <w:fldChar w:fldCharType="begin"/>
            </w:r>
            <w:r>
              <w:rPr>
                <w:noProof/>
                <w:webHidden/>
              </w:rPr>
              <w:instrText xml:space="preserve"> PAGEREF _Toc62678990 \h </w:instrText>
            </w:r>
            <w:r>
              <w:rPr>
                <w:noProof/>
                <w:webHidden/>
              </w:rPr>
            </w:r>
            <w:r>
              <w:rPr>
                <w:noProof/>
                <w:webHidden/>
              </w:rPr>
              <w:fldChar w:fldCharType="separate"/>
            </w:r>
            <w:r w:rsidR="00923B29">
              <w:rPr>
                <w:noProof/>
                <w:webHidden/>
              </w:rPr>
              <w:t>29</w:t>
            </w:r>
            <w:r>
              <w:rPr>
                <w:noProof/>
                <w:webHidden/>
              </w:rPr>
              <w:fldChar w:fldCharType="end"/>
            </w:r>
          </w:hyperlink>
        </w:p>
        <w:p w14:paraId="376C9C34" w14:textId="2A39CD01" w:rsidR="00912C20" w:rsidRDefault="00912C20">
          <w:r>
            <w:rPr>
              <w:b/>
              <w:bCs/>
            </w:rPr>
            <w:fldChar w:fldCharType="end"/>
          </w:r>
        </w:p>
      </w:sdtContent>
    </w:sdt>
    <w:p w14:paraId="237BDEC1" w14:textId="77777777" w:rsidR="00912C20" w:rsidRDefault="00912C20"/>
    <w:p w14:paraId="6835422E" w14:textId="6C7C45FF" w:rsidR="00912C20" w:rsidRDefault="00912C20">
      <w:r>
        <w:br w:type="page"/>
      </w:r>
    </w:p>
    <w:p w14:paraId="468E83E1" w14:textId="3E3E070D" w:rsidR="00912C20" w:rsidRDefault="00912C20" w:rsidP="00912C20">
      <w:pPr>
        <w:pStyle w:val="Heading1"/>
      </w:pPr>
      <w:bookmarkStart w:id="1" w:name="_Toc62678970"/>
      <w:r>
        <w:lastRenderedPageBreak/>
        <w:t>Wstęp</w:t>
      </w:r>
      <w:bookmarkEnd w:id="1"/>
    </w:p>
    <w:p w14:paraId="6CA15769" w14:textId="2AA266EE" w:rsidR="00912C20" w:rsidRDefault="00912C20" w:rsidP="00912C20">
      <w:r>
        <w:t>Tekst</w:t>
      </w:r>
    </w:p>
    <w:p w14:paraId="4F127272" w14:textId="28733A24" w:rsidR="00912C20" w:rsidRDefault="00912C20" w:rsidP="00912C20">
      <w:pPr>
        <w:pStyle w:val="Heading1"/>
      </w:pPr>
      <w:bookmarkStart w:id="2" w:name="_Toc62678971"/>
      <w:r>
        <w:lastRenderedPageBreak/>
        <w:t>Rynek kredytowy</w:t>
      </w:r>
      <w:bookmarkEnd w:id="2"/>
    </w:p>
    <w:p w14:paraId="46C3D514" w14:textId="77777777" w:rsidR="00D30AFE" w:rsidRDefault="00332D47" w:rsidP="00912C20">
      <w:r>
        <w:t xml:space="preserve">Rynek kredytowy jest ogromny. Tylko w Polsce na koniec 2019 było 15 444 tys. klientów sektorów bankowego i pożyczkowego, którzy posiadali czynne zobowiązania, a łączna kwota zadłużenia gospodarstw domowych wyniosła 671 mld zł. i wzrosła o 7% w porównaniu z końcem 2018 roku. Zauważalny jest silny i trwały trend wzrostowy. W porównaniu z początkiem 2012 roku zadłużenie wzrosło aż o 46,6% (213 mld). </w:t>
      </w:r>
    </w:p>
    <w:p w14:paraId="7828AD3C" w14:textId="77777777" w:rsidR="00D30AFE" w:rsidRDefault="00D30AFE" w:rsidP="00912C20">
      <w:r>
        <w:t xml:space="preserve">Podziału rynku można dokonać ze względu na sektory: </w:t>
      </w:r>
    </w:p>
    <w:p w14:paraId="6F65632C" w14:textId="0842ECE0" w:rsidR="00D30AFE" w:rsidRDefault="00D30AFE" w:rsidP="00D30AFE">
      <w:pPr>
        <w:pStyle w:val="ListParagraph"/>
        <w:numPr>
          <w:ilvl w:val="0"/>
          <w:numId w:val="2"/>
        </w:numPr>
      </w:pPr>
      <w:r>
        <w:t>bankowy,</w:t>
      </w:r>
    </w:p>
    <w:p w14:paraId="678A4D2B" w14:textId="3A0B83C8" w:rsidR="00912C20" w:rsidRDefault="00D30AFE" w:rsidP="00D30AFE">
      <w:pPr>
        <w:pStyle w:val="ListParagraph"/>
        <w:numPr>
          <w:ilvl w:val="0"/>
          <w:numId w:val="2"/>
        </w:numPr>
      </w:pPr>
      <w:r>
        <w:t>pożyczkowy (</w:t>
      </w:r>
      <w:proofErr w:type="spellStart"/>
      <w:r>
        <w:t>pozabankowy</w:t>
      </w:r>
      <w:proofErr w:type="spellEnd"/>
      <w:r>
        <w:t xml:space="preserve">). </w:t>
      </w:r>
      <w:r w:rsidR="00332D47">
        <w:t xml:space="preserve"> </w:t>
      </w:r>
    </w:p>
    <w:p w14:paraId="66CB62C0" w14:textId="54FE11E7" w:rsidR="00E023B6" w:rsidRDefault="00E023B6" w:rsidP="00E023B6">
      <w:pPr>
        <w:pStyle w:val="Heading2"/>
      </w:pPr>
      <w:bookmarkStart w:id="3" w:name="_Toc62678972"/>
      <w:r>
        <w:t>Sektor bankowy</w:t>
      </w:r>
      <w:bookmarkEnd w:id="3"/>
    </w:p>
    <w:p w14:paraId="2EEEC674" w14:textId="4FCF30C4" w:rsidR="00D30AFE" w:rsidRDefault="00D30AFE" w:rsidP="00912C20">
      <w:r>
        <w:t>W sektorze bankowym kredytobiorców podzielić można ze względu na posiadany produkt:</w:t>
      </w:r>
    </w:p>
    <w:p w14:paraId="5A8EBC99" w14:textId="736C57AB" w:rsidR="00D30AFE" w:rsidRDefault="00D30AFE" w:rsidP="00D30AFE">
      <w:pPr>
        <w:pStyle w:val="ListParagraph"/>
        <w:numPr>
          <w:ilvl w:val="0"/>
          <w:numId w:val="3"/>
        </w:numPr>
      </w:pPr>
      <w:r>
        <w:t>kredyt mieszkaniowy</w:t>
      </w:r>
    </w:p>
    <w:p w14:paraId="1E6C2512" w14:textId="0841C0E1" w:rsidR="00D30AFE" w:rsidRDefault="00D30AFE" w:rsidP="00D30AFE">
      <w:pPr>
        <w:pStyle w:val="ListParagraph"/>
        <w:numPr>
          <w:ilvl w:val="0"/>
          <w:numId w:val="3"/>
        </w:numPr>
      </w:pPr>
      <w:r>
        <w:t>kredyt ratalny i gotówkowy</w:t>
      </w:r>
    </w:p>
    <w:p w14:paraId="5D912FB5" w14:textId="47EF272F" w:rsidR="00D30AFE" w:rsidRDefault="00D30AFE" w:rsidP="00D30AFE">
      <w:pPr>
        <w:pStyle w:val="ListParagraph"/>
        <w:numPr>
          <w:ilvl w:val="0"/>
          <w:numId w:val="3"/>
        </w:numPr>
      </w:pPr>
      <w:r>
        <w:t>linie i karty kredytowe</w:t>
      </w:r>
    </w:p>
    <w:p w14:paraId="55FFCAF0" w14:textId="77777777" w:rsidR="00C721BF" w:rsidRDefault="00B15C4B" w:rsidP="00C721BF">
      <w:pPr>
        <w:keepNext/>
        <w:jc w:val="center"/>
      </w:pPr>
      <w:r w:rsidRPr="00B15C4B">
        <w:rPr>
          <w:noProof/>
        </w:rPr>
        <w:drawing>
          <wp:inline distT="0" distB="0" distL="0" distR="0" wp14:anchorId="44946E06" wp14:editId="7558EADC">
            <wp:extent cx="2880000" cy="2105396"/>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05396"/>
                    </a:xfrm>
                    <a:prstGeom prst="rect">
                      <a:avLst/>
                    </a:prstGeom>
                  </pic:spPr>
                </pic:pic>
              </a:graphicData>
            </a:graphic>
          </wp:inline>
        </w:drawing>
      </w:r>
    </w:p>
    <w:p w14:paraId="612FD722" w14:textId="5970A8C1" w:rsidR="00CF4B13" w:rsidRPr="007460E5" w:rsidRDefault="00C721BF" w:rsidP="00E81931">
      <w:pPr>
        <w:pStyle w:val="Caption"/>
        <w:rPr>
          <w:vertAlign w:val="superscript"/>
        </w:rPr>
      </w:pPr>
      <w:r>
        <w:t xml:space="preserve">Wykres </w:t>
      </w:r>
      <w:fldSimple w:instr=" SEQ Wykres \* ARABIC ">
        <w:r w:rsidR="00923B29">
          <w:rPr>
            <w:noProof/>
          </w:rPr>
          <w:t>1</w:t>
        </w:r>
      </w:fldSimple>
      <w:r>
        <w:t>.Kredytobiorcy w tys. – kredyty mieszkaniow</w:t>
      </w:r>
      <w:r w:rsidR="007460E5">
        <w:t>e</w:t>
      </w:r>
      <w:bookmarkStart w:id="4" w:name="_Hlk41756523"/>
      <w:r w:rsidR="007460E5">
        <w:rPr>
          <w:vertAlign w:val="superscript"/>
        </w:rPr>
        <w:t>[1]</w:t>
      </w:r>
      <w:bookmarkEnd w:id="4"/>
    </w:p>
    <w:p w14:paraId="12C700BE" w14:textId="546E59CF" w:rsidR="00C721BF" w:rsidRDefault="00C721BF" w:rsidP="00C721BF">
      <w:r>
        <w:t>Kredytobiorców mieszkaniowych w latach 2017-2019 przybywało około 3% rocznie, a na koniec roku 2019 było ich 3 997 tys. W porównaniu z początkiem roku 2012 liczba osób z czynnym kredytem mieszkaniowym wzrosła o 1 mln.</w:t>
      </w:r>
    </w:p>
    <w:p w14:paraId="6BB4F109" w14:textId="77777777" w:rsidR="00C721BF" w:rsidRDefault="00C721BF" w:rsidP="00C721BF">
      <w:pPr>
        <w:keepNext/>
        <w:jc w:val="center"/>
      </w:pPr>
      <w:r w:rsidRPr="00C721BF">
        <w:rPr>
          <w:noProof/>
        </w:rPr>
        <w:drawing>
          <wp:inline distT="0" distB="0" distL="0" distR="0" wp14:anchorId="1C80C550" wp14:editId="32158998">
            <wp:extent cx="2880000" cy="20419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041905"/>
                    </a:xfrm>
                    <a:prstGeom prst="rect">
                      <a:avLst/>
                    </a:prstGeom>
                  </pic:spPr>
                </pic:pic>
              </a:graphicData>
            </a:graphic>
          </wp:inline>
        </w:drawing>
      </w:r>
    </w:p>
    <w:p w14:paraId="36152691" w14:textId="66764799" w:rsidR="00C721BF" w:rsidRDefault="00C721BF" w:rsidP="00E81931">
      <w:pPr>
        <w:pStyle w:val="Caption"/>
      </w:pPr>
      <w:r>
        <w:t xml:space="preserve">Wykres </w:t>
      </w:r>
      <w:fldSimple w:instr=" SEQ Wykres \* ARABIC ">
        <w:r w:rsidR="00923B29">
          <w:rPr>
            <w:noProof/>
          </w:rPr>
          <w:t>2</w:t>
        </w:r>
      </w:fldSimple>
      <w:r>
        <w:t>.Kredytobiorcy w tys. – kredyty ratalne i gotówkowe</w:t>
      </w:r>
      <w:r w:rsidR="007460E5">
        <w:rPr>
          <w:vertAlign w:val="superscript"/>
        </w:rPr>
        <w:t>[1]</w:t>
      </w:r>
    </w:p>
    <w:p w14:paraId="1CED8BB6" w14:textId="4AE420FF" w:rsidR="00C721BF" w:rsidRDefault="00C721BF" w:rsidP="00C721BF">
      <w:r>
        <w:lastRenderedPageBreak/>
        <w:t xml:space="preserve">Liczba osób posiadająca kredyt konsumpcyjny jest dość stabilna. W porównaniu z początkiem roku 2012 zmniejszyła się ona jednak aż o 321 tys. czego częściowej przyczyny można dopatrywać się w rozwoju sektora pożyczkowego i migracji klientów. </w:t>
      </w:r>
    </w:p>
    <w:p w14:paraId="130342ED" w14:textId="77777777" w:rsidR="00C721BF" w:rsidRDefault="00C721BF" w:rsidP="00C721BF">
      <w:pPr>
        <w:keepNext/>
        <w:jc w:val="center"/>
      </w:pPr>
      <w:r w:rsidRPr="00C721BF">
        <w:rPr>
          <w:noProof/>
        </w:rPr>
        <w:drawing>
          <wp:inline distT="0" distB="0" distL="0" distR="0" wp14:anchorId="63E88999" wp14:editId="5F866CCD">
            <wp:extent cx="2880000" cy="20647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064760"/>
                    </a:xfrm>
                    <a:prstGeom prst="rect">
                      <a:avLst/>
                    </a:prstGeom>
                  </pic:spPr>
                </pic:pic>
              </a:graphicData>
            </a:graphic>
          </wp:inline>
        </w:drawing>
      </w:r>
    </w:p>
    <w:p w14:paraId="2CD2B6E9" w14:textId="35DDED2F" w:rsidR="00C721BF" w:rsidRDefault="00C721BF" w:rsidP="00E81931">
      <w:pPr>
        <w:pStyle w:val="Caption"/>
      </w:pPr>
      <w:r>
        <w:t xml:space="preserve">Wykres </w:t>
      </w:r>
      <w:fldSimple w:instr=" SEQ Wykres \* ARABIC ">
        <w:r w:rsidR="00923B29">
          <w:rPr>
            <w:noProof/>
          </w:rPr>
          <w:t>3</w:t>
        </w:r>
      </w:fldSimple>
      <w:r>
        <w:t>.</w:t>
      </w:r>
      <w:r w:rsidR="00FC0A56">
        <w:t>Kredytobiorcy w tys. – linie i karty kredytowe</w:t>
      </w:r>
      <w:r w:rsidR="007460E5">
        <w:rPr>
          <w:vertAlign w:val="superscript"/>
        </w:rPr>
        <w:t>[1]</w:t>
      </w:r>
    </w:p>
    <w:p w14:paraId="2BD8F932" w14:textId="0BA5DA4F" w:rsidR="00FC0A56" w:rsidRDefault="00FC0A56" w:rsidP="00FC0A56">
      <w:r>
        <w:t xml:space="preserve">Wzrasta liczba osób posiadających karty kredytowe, w 2018 roku jedynie o 23 </w:t>
      </w:r>
      <w:proofErr w:type="spellStart"/>
      <w:r>
        <w:t>tys</w:t>
      </w:r>
      <w:proofErr w:type="spellEnd"/>
      <w:r>
        <w:t xml:space="preserve">, ale już rok później przybyło 144 tys. osób. Wyraźny spadek widać w liczbie osób, które posiadają limity kredytowe do rachunków bankowych. W roku 2018 był to spadek o 110 </w:t>
      </w:r>
      <w:proofErr w:type="spellStart"/>
      <w:r>
        <w:t>tys</w:t>
      </w:r>
      <w:proofErr w:type="spellEnd"/>
      <w:r>
        <w:t>, natomiast w roku 2019 już o 223 tys.</w:t>
      </w:r>
    </w:p>
    <w:p w14:paraId="08254998" w14:textId="51955E10" w:rsidR="00E023B6" w:rsidRDefault="00E023B6" w:rsidP="00E023B6">
      <w:pPr>
        <w:pStyle w:val="Heading2"/>
      </w:pPr>
      <w:bookmarkStart w:id="5" w:name="_Toc62678973"/>
      <w:r>
        <w:t>Sektor pożyczkowy (</w:t>
      </w:r>
      <w:proofErr w:type="spellStart"/>
      <w:r>
        <w:t>pozabankowy</w:t>
      </w:r>
      <w:proofErr w:type="spellEnd"/>
      <w:r>
        <w:t>)</w:t>
      </w:r>
      <w:bookmarkEnd w:id="5"/>
    </w:p>
    <w:p w14:paraId="74B4D2BA" w14:textId="2A627783" w:rsidR="00FC0A56" w:rsidRDefault="00E023B6" w:rsidP="00FC0A56">
      <w:r>
        <w:t xml:space="preserve">W latach 2016-2017 widoczny był znaczny i szybki wzrost liczby pożyczkobiorców </w:t>
      </w:r>
      <w:proofErr w:type="spellStart"/>
      <w:r>
        <w:t>pozabankowych</w:t>
      </w:r>
      <w:proofErr w:type="spellEnd"/>
      <w:r>
        <w:t xml:space="preserve">, jednak znaczna część tego wzrostu wynikała z coraz bliższej współpracy pomiędzy firmami pożyczkowymi a Biurem Informacji Kredytowej (BIK). </w:t>
      </w:r>
    </w:p>
    <w:p w14:paraId="489BBB7D" w14:textId="77777777" w:rsidR="00E023B6" w:rsidRDefault="00E023B6" w:rsidP="00E023B6">
      <w:pPr>
        <w:keepNext/>
        <w:jc w:val="center"/>
      </w:pPr>
      <w:r w:rsidRPr="00E023B6">
        <w:rPr>
          <w:noProof/>
        </w:rPr>
        <w:drawing>
          <wp:inline distT="0" distB="0" distL="0" distR="0" wp14:anchorId="277883A7" wp14:editId="39B853EF">
            <wp:extent cx="4680000" cy="2569564"/>
            <wp:effectExtent l="0" t="0" r="635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569564"/>
                    </a:xfrm>
                    <a:prstGeom prst="rect">
                      <a:avLst/>
                    </a:prstGeom>
                  </pic:spPr>
                </pic:pic>
              </a:graphicData>
            </a:graphic>
          </wp:inline>
        </w:drawing>
      </w:r>
    </w:p>
    <w:p w14:paraId="1E8FAAF8" w14:textId="34CCBDA0" w:rsidR="00E023B6" w:rsidRDefault="00E023B6" w:rsidP="00E81931">
      <w:pPr>
        <w:pStyle w:val="Caption"/>
      </w:pPr>
      <w:r>
        <w:t xml:space="preserve">Wykres </w:t>
      </w:r>
      <w:fldSimple w:instr=" SEQ Wykres \* ARABIC ">
        <w:r w:rsidR="00923B29">
          <w:rPr>
            <w:noProof/>
          </w:rPr>
          <w:t>4</w:t>
        </w:r>
      </w:fldSimple>
      <w:r>
        <w:t>. Klienci firm pożyczkowych</w:t>
      </w:r>
      <w:r w:rsidR="007460E5">
        <w:rPr>
          <w:vertAlign w:val="superscript"/>
        </w:rPr>
        <w:t>[1]</w:t>
      </w:r>
    </w:p>
    <w:p w14:paraId="5A586430" w14:textId="40AC8B1F" w:rsidR="00E023B6" w:rsidRDefault="00E023B6" w:rsidP="00E023B6">
      <w:r>
        <w:t>W 2019 roku liczba klientów firm pożyczkowych spadła w Polsce o 2,3 tys. osób.</w:t>
      </w:r>
    </w:p>
    <w:p w14:paraId="2B7184EC" w14:textId="77777777" w:rsidR="001A10F0" w:rsidRDefault="00E023B6" w:rsidP="001A10F0">
      <w:pPr>
        <w:keepNext/>
        <w:jc w:val="center"/>
      </w:pPr>
      <w:r w:rsidRPr="00E023B6">
        <w:rPr>
          <w:noProof/>
        </w:rPr>
        <w:lastRenderedPageBreak/>
        <w:drawing>
          <wp:inline distT="0" distB="0" distL="0" distR="0" wp14:anchorId="0332D262" wp14:editId="1138EBE8">
            <wp:extent cx="4680000" cy="2197619"/>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2197619"/>
                    </a:xfrm>
                    <a:prstGeom prst="rect">
                      <a:avLst/>
                    </a:prstGeom>
                  </pic:spPr>
                </pic:pic>
              </a:graphicData>
            </a:graphic>
          </wp:inline>
        </w:drawing>
      </w:r>
    </w:p>
    <w:p w14:paraId="3661FEC7" w14:textId="7511A459" w:rsidR="00E023B6" w:rsidRDefault="001A10F0" w:rsidP="00E81931">
      <w:pPr>
        <w:pStyle w:val="Caption"/>
      </w:pPr>
      <w:r>
        <w:t xml:space="preserve">Wykres </w:t>
      </w:r>
      <w:fldSimple w:instr=" SEQ Wykres \* ARABIC ">
        <w:r w:rsidR="00923B29">
          <w:rPr>
            <w:noProof/>
          </w:rPr>
          <w:t>5</w:t>
        </w:r>
      </w:fldSimple>
      <w:r>
        <w:t>.</w:t>
      </w:r>
      <w:r w:rsidRPr="001A10F0">
        <w:t xml:space="preserve"> </w:t>
      </w:r>
      <w:r>
        <w:t>Klienci sektora pożyczkowego bez zobowiązań wobec banków oraz posiadacze kredytów konsumpcyjnych. Struktura wiekowa</w:t>
      </w:r>
      <w:r w:rsidR="007460E5">
        <w:rPr>
          <w:vertAlign w:val="superscript"/>
        </w:rPr>
        <w:t>[1]</w:t>
      </w:r>
    </w:p>
    <w:p w14:paraId="2559FB08" w14:textId="22259FB7" w:rsidR="001A10F0" w:rsidRDefault="001A10F0" w:rsidP="001A10F0">
      <w:r>
        <w:t xml:space="preserve">Wyłącznie z pożyczek </w:t>
      </w:r>
      <w:proofErr w:type="spellStart"/>
      <w:r>
        <w:t>pozabankowych</w:t>
      </w:r>
      <w:proofErr w:type="spellEnd"/>
      <w:r>
        <w:t xml:space="preserve"> w Polsce na koniec 2019 roku korzystało 144,5 tys. osób. Głównie były to osoby młode (poniżej 35 roku życia). </w:t>
      </w:r>
    </w:p>
    <w:p w14:paraId="186CFBC3" w14:textId="3E2BE1E7" w:rsidR="001A10F0" w:rsidRDefault="001A10F0" w:rsidP="001A10F0">
      <w:pPr>
        <w:pStyle w:val="Heading2"/>
      </w:pPr>
      <w:bookmarkStart w:id="6" w:name="_Toc62678974"/>
      <w:r>
        <w:t>Kredyty mieszkaniowe</w:t>
      </w:r>
      <w:bookmarkEnd w:id="6"/>
    </w:p>
    <w:p w14:paraId="18A4C667" w14:textId="51326529" w:rsidR="002B7C21" w:rsidRDefault="002B7C21" w:rsidP="00BC493B">
      <w:r>
        <w:t>Kredyt mieszkaniowy często uznawany jest za to samo co kredyt hipoteczny, jednak pojęcie kredytu mieszkaniowego jest węższe. Kredyt hipoteczny jest to kredyt którego zabezpieczenie stanowi hipoteka, ale cel kredytu może być dowolny. Kredyt mieszkaniowy jest to kredy którego zabezpieczenie również stanowi hipoteka, ale służy on do finansowania zakupu mieszkania. Ogólnie kredyt mieszkaniowy zawsze jest hipoteczny, natomiast kredyt hipoteczny nie musi być mieszkaniowy.</w:t>
      </w:r>
    </w:p>
    <w:p w14:paraId="0E218D5D" w14:textId="77777777" w:rsidR="00996AD7" w:rsidRDefault="00996AD7" w:rsidP="00996AD7">
      <w:pPr>
        <w:keepNext/>
        <w:jc w:val="center"/>
      </w:pPr>
      <w:r w:rsidRPr="00996AD7">
        <w:rPr>
          <w:noProof/>
        </w:rPr>
        <w:drawing>
          <wp:inline distT="0" distB="0" distL="0" distR="0" wp14:anchorId="0485B46F" wp14:editId="67D65FA9">
            <wp:extent cx="4680000" cy="221877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218770"/>
                    </a:xfrm>
                    <a:prstGeom prst="rect">
                      <a:avLst/>
                    </a:prstGeom>
                  </pic:spPr>
                </pic:pic>
              </a:graphicData>
            </a:graphic>
          </wp:inline>
        </w:drawing>
      </w:r>
    </w:p>
    <w:p w14:paraId="155FB129" w14:textId="6C069CDB" w:rsidR="00D2593D" w:rsidRDefault="00996AD7" w:rsidP="00E81931">
      <w:pPr>
        <w:pStyle w:val="Caption"/>
      </w:pPr>
      <w:r>
        <w:t xml:space="preserve">Wykres </w:t>
      </w:r>
      <w:fldSimple w:instr=" SEQ Wykres \* ARABIC ">
        <w:r w:rsidR="00923B29">
          <w:rPr>
            <w:noProof/>
          </w:rPr>
          <w:t>6</w:t>
        </w:r>
      </w:fldSimple>
      <w:r>
        <w:t>. Kredyty mieszkaniowe (w tys. szt.) udzielone w latach 2017–2019</w:t>
      </w:r>
      <w:r w:rsidR="007460E5">
        <w:rPr>
          <w:vertAlign w:val="superscript"/>
        </w:rPr>
        <w:t>[1]</w:t>
      </w:r>
    </w:p>
    <w:p w14:paraId="5D758FE3" w14:textId="41D68C8C" w:rsidR="00996AD7" w:rsidRDefault="002B7C21" w:rsidP="00BC493B">
      <w:r>
        <w:t xml:space="preserve">W 2019 roku liczba udzielonych kredytów wzrosła o 4% </w:t>
      </w:r>
      <w:r w:rsidR="00996AD7">
        <w:t xml:space="preserve">w porównaniu z 2018 </w:t>
      </w:r>
      <w:r>
        <w:t xml:space="preserve">(z 229 tys. do 238 tys.) i utrzymuje trend wzrostowy, pomimo wycofania wsparcia z budżetu (program </w:t>
      </w:r>
      <w:proofErr w:type="spellStart"/>
      <w:r>
        <w:t>MdM</w:t>
      </w:r>
      <w:proofErr w:type="spellEnd"/>
      <w:r>
        <w:t xml:space="preserve">). </w:t>
      </w:r>
    </w:p>
    <w:p w14:paraId="68442E3A" w14:textId="77777777" w:rsidR="008068F1" w:rsidRDefault="008068F1" w:rsidP="008068F1">
      <w:pPr>
        <w:keepNext/>
        <w:jc w:val="center"/>
      </w:pPr>
      <w:r w:rsidRPr="008068F1">
        <w:rPr>
          <w:noProof/>
        </w:rPr>
        <w:lastRenderedPageBreak/>
        <w:drawing>
          <wp:inline distT="0" distB="0" distL="0" distR="0" wp14:anchorId="292AC43F" wp14:editId="59D47DE8">
            <wp:extent cx="4680000" cy="2177500"/>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177500"/>
                    </a:xfrm>
                    <a:prstGeom prst="rect">
                      <a:avLst/>
                    </a:prstGeom>
                  </pic:spPr>
                </pic:pic>
              </a:graphicData>
            </a:graphic>
          </wp:inline>
        </w:drawing>
      </w:r>
    </w:p>
    <w:p w14:paraId="4D9FE73F" w14:textId="779627F2" w:rsidR="00996AD7" w:rsidRDefault="008068F1" w:rsidP="00E81931">
      <w:pPr>
        <w:pStyle w:val="Caption"/>
      </w:pPr>
      <w:r>
        <w:t xml:space="preserve">Wykres </w:t>
      </w:r>
      <w:fldSimple w:instr=" SEQ Wykres \* ARABIC ">
        <w:r w:rsidR="00923B29">
          <w:rPr>
            <w:noProof/>
          </w:rPr>
          <w:t>7</w:t>
        </w:r>
      </w:fldSimple>
      <w:r>
        <w:t>. Kwota kredytów mieszkaniowych (w mln zł) udzielonych w latach 2017–2019</w:t>
      </w:r>
      <w:r w:rsidR="007460E5">
        <w:rPr>
          <w:vertAlign w:val="superscript"/>
        </w:rPr>
        <w:t>[1]</w:t>
      </w:r>
    </w:p>
    <w:p w14:paraId="5BE55800" w14:textId="193DB4DA" w:rsidR="002B7C21" w:rsidRDefault="002B7C21" w:rsidP="00BC493B">
      <w:r>
        <w:t xml:space="preserve">Stale rośnie również wartość </w:t>
      </w:r>
      <w:r w:rsidR="00996AD7">
        <w:t xml:space="preserve">udzielanych </w:t>
      </w:r>
      <w:r>
        <w:t xml:space="preserve">kredytów mieszkaniowych. </w:t>
      </w:r>
      <w:r w:rsidR="00996AD7">
        <w:t>Porównując do 2018 roku kwota udzielonych kredytów wzrosła o ponad 14% (z 56,61 mld do 64,78 mld).</w:t>
      </w:r>
    </w:p>
    <w:p w14:paraId="51323A42" w14:textId="77777777" w:rsidR="008068F1" w:rsidRDefault="008068F1" w:rsidP="008068F1">
      <w:pPr>
        <w:keepNext/>
        <w:jc w:val="center"/>
      </w:pPr>
      <w:r w:rsidRPr="008068F1">
        <w:rPr>
          <w:noProof/>
        </w:rPr>
        <w:drawing>
          <wp:inline distT="0" distB="0" distL="0" distR="0" wp14:anchorId="58C26409" wp14:editId="6E83E69E">
            <wp:extent cx="4680000" cy="1880357"/>
            <wp:effectExtent l="0" t="0" r="635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1880357"/>
                    </a:xfrm>
                    <a:prstGeom prst="rect">
                      <a:avLst/>
                    </a:prstGeom>
                  </pic:spPr>
                </pic:pic>
              </a:graphicData>
            </a:graphic>
          </wp:inline>
        </w:drawing>
      </w:r>
    </w:p>
    <w:p w14:paraId="6F4FDE51" w14:textId="01133AC9" w:rsidR="00996AD7" w:rsidRDefault="008068F1" w:rsidP="00E81931">
      <w:pPr>
        <w:pStyle w:val="Caption"/>
      </w:pPr>
      <w:r>
        <w:t xml:space="preserve">Wykres </w:t>
      </w:r>
      <w:fldSimple w:instr=" SEQ Wykres \* ARABIC ">
        <w:r w:rsidR="00923B29">
          <w:rPr>
            <w:noProof/>
          </w:rPr>
          <w:t>8</w:t>
        </w:r>
      </w:fldSimple>
      <w:r>
        <w:t>. Średnie kwoty kredytów mieszkaniowych (w tys. zł) udzielonych w latach 2007–2019</w:t>
      </w:r>
      <w:r w:rsidR="007460E5">
        <w:rPr>
          <w:vertAlign w:val="superscript"/>
        </w:rPr>
        <w:t>[1]</w:t>
      </w:r>
    </w:p>
    <w:p w14:paraId="2C0003A7" w14:textId="1CEBF550" w:rsidR="00996AD7" w:rsidRDefault="00996AD7" w:rsidP="00BC493B">
      <w:r>
        <w:t xml:space="preserve">Wzrost wartości udzielonych kredytów spowodowany jest nie tylko wzrostem ich liczby ale również średniej kwoty kredytu, która od 2012 ma trend wzrostowy. </w:t>
      </w:r>
      <w:r w:rsidR="008068F1">
        <w:t xml:space="preserve">Porównując do roku poprzedniego, w 2019 roku kwota ta wzrosła o 10% (z 247 tys. do 272 tys.). </w:t>
      </w:r>
    </w:p>
    <w:p w14:paraId="2FA27BD0" w14:textId="77777777" w:rsidR="00C76773" w:rsidRDefault="00C76773" w:rsidP="00C76773">
      <w:pPr>
        <w:keepNext/>
        <w:jc w:val="center"/>
      </w:pPr>
      <w:r w:rsidRPr="00C76773">
        <w:rPr>
          <w:noProof/>
        </w:rPr>
        <w:drawing>
          <wp:inline distT="0" distB="0" distL="0" distR="0" wp14:anchorId="37A60D56" wp14:editId="5659F364">
            <wp:extent cx="4680000" cy="2121786"/>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121786"/>
                    </a:xfrm>
                    <a:prstGeom prst="rect">
                      <a:avLst/>
                    </a:prstGeom>
                  </pic:spPr>
                </pic:pic>
              </a:graphicData>
            </a:graphic>
          </wp:inline>
        </w:drawing>
      </w:r>
    </w:p>
    <w:p w14:paraId="232ECA0B" w14:textId="66A56AEB" w:rsidR="000E0ED1" w:rsidRDefault="00C76773" w:rsidP="00E81931">
      <w:pPr>
        <w:pStyle w:val="Caption"/>
      </w:pPr>
      <w:r>
        <w:t xml:space="preserve">Wykres </w:t>
      </w:r>
      <w:fldSimple w:instr=" SEQ Wykres \* ARABIC ">
        <w:r w:rsidR="00923B29">
          <w:rPr>
            <w:noProof/>
          </w:rPr>
          <w:t>9</w:t>
        </w:r>
      </w:fldSimple>
      <w:r>
        <w:t>. Wzrosty (w pkt. proc.) udziałów rachunków opóźnionych w liczbie otwartych w rocznikach 2007–2018</w:t>
      </w:r>
      <w:r w:rsidR="00B750CB">
        <w:rPr>
          <w:vertAlign w:val="superscript"/>
        </w:rPr>
        <w:t>[1]</w:t>
      </w:r>
    </w:p>
    <w:p w14:paraId="57E71EE7" w14:textId="0858BCD2" w:rsidR="00C76773" w:rsidRPr="00C76773" w:rsidRDefault="00C76773" w:rsidP="00C76773">
      <w:r>
        <w:t>Bardzo powolny jest proces wzrostu wraz z wiekiem udziału kredytów opóźnionych. Zdecydowanie najwyższy wzrost notuje się w kryzysowym roczniku 2008, natomiast pozostałe roczniki kredytów psują się znacznie wolniej (około 0,1% r/r).</w:t>
      </w:r>
    </w:p>
    <w:p w14:paraId="76F537E9" w14:textId="77777777" w:rsidR="000E0ED1" w:rsidRDefault="000E0ED1" w:rsidP="000E0ED1">
      <w:pPr>
        <w:keepNext/>
        <w:jc w:val="center"/>
      </w:pPr>
      <w:r w:rsidRPr="000E0ED1">
        <w:rPr>
          <w:noProof/>
        </w:rPr>
        <w:lastRenderedPageBreak/>
        <w:drawing>
          <wp:inline distT="0" distB="0" distL="0" distR="0" wp14:anchorId="411A169D" wp14:editId="59720E21">
            <wp:extent cx="4680000" cy="2580913"/>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580913"/>
                    </a:xfrm>
                    <a:prstGeom prst="rect">
                      <a:avLst/>
                    </a:prstGeom>
                  </pic:spPr>
                </pic:pic>
              </a:graphicData>
            </a:graphic>
          </wp:inline>
        </w:drawing>
      </w:r>
    </w:p>
    <w:p w14:paraId="5B10F613" w14:textId="09E2121C" w:rsidR="000E0ED1" w:rsidRDefault="000E0ED1" w:rsidP="00E81931">
      <w:pPr>
        <w:pStyle w:val="Caption"/>
      </w:pPr>
      <w:r>
        <w:t xml:space="preserve">Wykres </w:t>
      </w:r>
      <w:fldSimple w:instr=" SEQ Wykres \* ARABIC ">
        <w:r w:rsidR="00923B29">
          <w:rPr>
            <w:noProof/>
          </w:rPr>
          <w:t>10</w:t>
        </w:r>
      </w:fldSimple>
      <w:r>
        <w:t xml:space="preserve">. </w:t>
      </w:r>
      <w:r w:rsidRPr="0094750C">
        <w:t>Zadłużenie w (mld zł) w kredytach mieszkaniowych</w:t>
      </w:r>
      <w:r w:rsidR="00B750CB">
        <w:rPr>
          <w:vertAlign w:val="superscript"/>
        </w:rPr>
        <w:t>[1]</w:t>
      </w:r>
    </w:p>
    <w:p w14:paraId="2CF79164" w14:textId="552238DA" w:rsidR="000E0ED1" w:rsidRPr="000E0ED1" w:rsidRDefault="000E0ED1" w:rsidP="000E0ED1">
      <w:r>
        <w:t xml:space="preserve">Stale rośnie całkowite zadłużenie na kredytach mieszkaniowych. Łączna kwota zadłużenia, w porównaniu z rokiem 2018, wzrosła w roku 2019 o prawie 6% (z 470,2 mld do 498,3 mld). Wśród kredytobiorców złotowych zadłużenie wzrosło o 33,8 mld (10,5%), a wśród kredytobiorców walutowych spadło o 5,7 mld (3,8%). </w:t>
      </w:r>
    </w:p>
    <w:p w14:paraId="49AED257" w14:textId="6CC681B0" w:rsidR="008068F1" w:rsidRDefault="00814148" w:rsidP="00814148">
      <w:pPr>
        <w:pStyle w:val="Heading2"/>
      </w:pPr>
      <w:bookmarkStart w:id="7" w:name="_Toc62678975"/>
      <w:r>
        <w:t>Kredyt walutowy</w:t>
      </w:r>
      <w:bookmarkEnd w:id="7"/>
    </w:p>
    <w:p w14:paraId="166A40AA" w14:textId="0A0E32EC" w:rsidR="00814148" w:rsidRDefault="00A804B4" w:rsidP="00814148">
      <w:r>
        <w:t>Kredyty walutowe</w:t>
      </w:r>
      <w:r w:rsidR="00A36A53">
        <w:t xml:space="preserve">, a zwłaszcza kredyty frankowe, były w Polsce bardzo popularne w latach 2004-2009. Dawane były ze znacznie niższym oprocentowaniem niż kredyty złotowe, dlatego tak dużo osób decydowało się na nie, nie zawsze będą świadomymi ryzyka jakie podejmują. </w:t>
      </w:r>
    </w:p>
    <w:p w14:paraId="3B107843" w14:textId="77777777" w:rsidR="008F46D2" w:rsidRDefault="008F46D2" w:rsidP="008F46D2">
      <w:pPr>
        <w:keepNext/>
        <w:jc w:val="center"/>
      </w:pPr>
      <w:r w:rsidRPr="008F46D2">
        <w:rPr>
          <w:noProof/>
        </w:rPr>
        <w:drawing>
          <wp:inline distT="0" distB="0" distL="0" distR="0" wp14:anchorId="51DE2D05" wp14:editId="37CB766D">
            <wp:extent cx="4991100" cy="25370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932" cy="2545053"/>
                    </a:xfrm>
                    <a:prstGeom prst="rect">
                      <a:avLst/>
                    </a:prstGeom>
                  </pic:spPr>
                </pic:pic>
              </a:graphicData>
            </a:graphic>
          </wp:inline>
        </w:drawing>
      </w:r>
    </w:p>
    <w:p w14:paraId="674419C3" w14:textId="0F94DB86" w:rsidR="008F46D2" w:rsidRPr="00B750CB" w:rsidRDefault="008F46D2" w:rsidP="00E81931">
      <w:pPr>
        <w:pStyle w:val="Caption"/>
        <w:rPr>
          <w:vertAlign w:val="superscript"/>
        </w:rPr>
      </w:pPr>
      <w:r>
        <w:t xml:space="preserve">Wykres </w:t>
      </w:r>
      <w:fldSimple w:instr=" SEQ Wykres \* ARABIC ">
        <w:r w:rsidR="00923B29">
          <w:rPr>
            <w:noProof/>
          </w:rPr>
          <w:t>11</w:t>
        </w:r>
      </w:fldSimple>
      <w:r>
        <w:t>. Kurs franka szwajcarskiego</w:t>
      </w:r>
      <w:r w:rsidR="00B750CB">
        <w:rPr>
          <w:vertAlign w:val="superscript"/>
        </w:rPr>
        <w:t>[2]</w:t>
      </w:r>
    </w:p>
    <w:p w14:paraId="45D2748F" w14:textId="3D5467DE" w:rsidR="00A36A53" w:rsidRDefault="00593E28" w:rsidP="00814148">
      <w:r>
        <w:t xml:space="preserve">Znaczny wzrost kursu franka szwajcarskiego (CHF) spowodował, że sytuacja wielu osób pogorszyła się. Kwota ich zadłużenia przewyższała kwotę zaciągniętego kredytu, a także wartość kupionej nieruchomości. W celu uregulowania udzielania kredytów w obcej walucie wprowadzono rekomendację S. </w:t>
      </w:r>
      <w:r w:rsidR="00075D34">
        <w:t>Zgodnie z rekomendacją S wydaną przez KNF w czerwcu 2013 roku od dnia 1 lipca 2014 roku banki mogą udzielać kredytów tylko w walucie zarobków:</w:t>
      </w:r>
    </w:p>
    <w:p w14:paraId="06FA4126" w14:textId="23DBECCA" w:rsidR="00075D34" w:rsidRPr="00814148" w:rsidRDefault="00075D34" w:rsidP="00075D34">
      <w:pPr>
        <w:jc w:val="center"/>
      </w:pPr>
      <w:r>
        <w:rPr>
          <w:noProof/>
        </w:rPr>
        <w:lastRenderedPageBreak/>
        <mc:AlternateContent>
          <mc:Choice Requires="wps">
            <w:drawing>
              <wp:inline distT="0" distB="0" distL="0" distR="0" wp14:anchorId="4717C9C3" wp14:editId="53142FDA">
                <wp:extent cx="5398770" cy="1403985"/>
                <wp:effectExtent l="0" t="0" r="0" b="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403985"/>
                        </a:xfrm>
                        <a:prstGeom prst="rect">
                          <a:avLst/>
                        </a:prstGeom>
                        <a:noFill/>
                        <a:ln w="9525">
                          <a:noFill/>
                          <a:miter lim="800000"/>
                          <a:headEnd/>
                          <a:tailEnd/>
                        </a:ln>
                      </wps:spPr>
                      <wps:txbx>
                        <w:txbxContent>
                          <w:p w14:paraId="113026EF" w14:textId="507DF76A" w:rsidR="009B5F1D" w:rsidRPr="00075D34" w:rsidRDefault="009B5F1D"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9B5F1D" w:rsidRPr="00B750CB" w:rsidRDefault="009B5F1D"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wps:txbx>
                      <wps:bodyPr rot="0" vert="horz" wrap="square" lIns="91440" tIns="45720" rIns="91440" bIns="45720" anchor="t" anchorCtr="0">
                        <a:spAutoFit/>
                      </wps:bodyPr>
                    </wps:wsp>
                  </a:graphicData>
                </a:graphic>
              </wp:inline>
            </w:drawing>
          </mc:Choice>
          <mc:Fallback>
            <w:pict>
              <v:shapetype w14:anchorId="4717C9C3" id="_x0000_t202" coordsize="21600,21600" o:spt="202" path="m,l,21600r21600,l21600,xe">
                <v:stroke joinstyle="miter"/>
                <v:path gradientshapeok="t" o:connecttype="rect"/>
              </v:shapetype>
              <v:shape id="Pole tekstowe 2" o:spid="_x0000_s1026" type="#_x0000_t202" style="width:425.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" filled="f" stroked="f">
                <v:textbox style="mso-fit-shape-to-text:t">
                  <w:txbxContent>
                    <w:p w14:paraId="113026EF" w14:textId="507DF76A" w:rsidR="009B5F1D" w:rsidRPr="00075D34" w:rsidRDefault="009B5F1D"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9B5F1D" w:rsidRPr="00B750CB" w:rsidRDefault="009B5F1D"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v:textbox>
                <w10:anchorlock/>
              </v:shape>
            </w:pict>
          </mc:Fallback>
        </mc:AlternateContent>
      </w:r>
    </w:p>
    <w:p w14:paraId="0980A1C4" w14:textId="6A218058" w:rsidR="00A106B2" w:rsidRDefault="00075D34" w:rsidP="00BC493B">
      <w:r>
        <w:t>Ma to na celu wyeliminowanie ryzyka walutowego dla klientów indywidualnych.</w:t>
      </w:r>
    </w:p>
    <w:p w14:paraId="182CCDC8" w14:textId="77777777" w:rsidR="00593E28" w:rsidRDefault="00593E28" w:rsidP="00593E28">
      <w:pPr>
        <w:keepNext/>
        <w:jc w:val="center"/>
      </w:pPr>
      <w:r w:rsidRPr="00593E28">
        <w:rPr>
          <w:noProof/>
        </w:rPr>
        <w:drawing>
          <wp:inline distT="0" distB="0" distL="0" distR="0" wp14:anchorId="6874509B" wp14:editId="05234CB5">
            <wp:extent cx="6069220" cy="1873885"/>
            <wp:effectExtent l="0" t="0" r="825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5035" cy="1878768"/>
                    </a:xfrm>
                    <a:prstGeom prst="rect">
                      <a:avLst/>
                    </a:prstGeom>
                  </pic:spPr>
                </pic:pic>
              </a:graphicData>
            </a:graphic>
          </wp:inline>
        </w:drawing>
      </w:r>
    </w:p>
    <w:p w14:paraId="2245A1DD" w14:textId="408F0E2F" w:rsidR="00593E28" w:rsidRDefault="00593E28" w:rsidP="00E81931">
      <w:pPr>
        <w:pStyle w:val="Caption"/>
      </w:pPr>
      <w:r>
        <w:t xml:space="preserve">Wykres </w:t>
      </w:r>
      <w:fldSimple w:instr=" SEQ Wykres \* ARABIC ">
        <w:r w:rsidR="00923B29">
          <w:rPr>
            <w:noProof/>
          </w:rPr>
          <w:t>12</w:t>
        </w:r>
      </w:fldSimple>
      <w:r>
        <w:t xml:space="preserve">. </w:t>
      </w:r>
      <w:r w:rsidRPr="00475585">
        <w:t>Udziały rachunków opóźnionych w obsłudze &gt;90 dni w liczbie kredytów mieszkaniowych udzielonych w rocznikach do 2011 r.</w:t>
      </w:r>
      <w:r>
        <w:t xml:space="preserve"> </w:t>
      </w:r>
      <w:r w:rsidRPr="00475585">
        <w:t>Stan bazy BIK na koniec 2019 r. po korekcie o przewalutowania</w:t>
      </w:r>
      <w:r w:rsidR="00B750CB">
        <w:rPr>
          <w:vertAlign w:val="superscript"/>
        </w:rPr>
        <w:t>[1]</w:t>
      </w:r>
    </w:p>
    <w:p w14:paraId="2D110359" w14:textId="11AC88B7" w:rsidR="00593E28" w:rsidRDefault="00B97CF6" w:rsidP="00593E28">
      <w:r>
        <w:t xml:space="preserve">Pomimo zawirowań na rynku walutowym, szkodowość kredytów walutowych, mierzona udziałem kredytów opóźnionych o ponad 90 dni, jest niższa niż kredytów złotowych. Wysoka szkodowość rocznika 2008 może być spowodowana tym, że było w nim najwięcej kredytów walutowych i jest w nim najwięcej przewalutowań. </w:t>
      </w:r>
    </w:p>
    <w:p w14:paraId="23774B89" w14:textId="77777777" w:rsidR="00B97CF6" w:rsidRDefault="00B97CF6" w:rsidP="00B97CF6">
      <w:pPr>
        <w:keepNext/>
        <w:jc w:val="center"/>
      </w:pPr>
      <w:r w:rsidRPr="00B97CF6">
        <w:rPr>
          <w:noProof/>
        </w:rPr>
        <w:drawing>
          <wp:inline distT="0" distB="0" distL="0" distR="0" wp14:anchorId="13FD5D6B" wp14:editId="2819F8AF">
            <wp:extent cx="4680000" cy="2564921"/>
            <wp:effectExtent l="0" t="0" r="6350" b="69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564921"/>
                    </a:xfrm>
                    <a:prstGeom prst="rect">
                      <a:avLst/>
                    </a:prstGeom>
                  </pic:spPr>
                </pic:pic>
              </a:graphicData>
            </a:graphic>
          </wp:inline>
        </w:drawing>
      </w:r>
    </w:p>
    <w:p w14:paraId="230582F0" w14:textId="52126615" w:rsidR="00B97CF6" w:rsidRDefault="00B97CF6" w:rsidP="00E81931">
      <w:pPr>
        <w:pStyle w:val="Caption"/>
      </w:pPr>
      <w:r>
        <w:t xml:space="preserve">Wykres </w:t>
      </w:r>
      <w:fldSimple w:instr=" SEQ Wykres \* ARABIC ">
        <w:r w:rsidR="00923B29">
          <w:rPr>
            <w:noProof/>
          </w:rPr>
          <w:t>13</w:t>
        </w:r>
      </w:fldSimple>
      <w:r>
        <w:t xml:space="preserve">. </w:t>
      </w:r>
      <w:r w:rsidRPr="006671D2">
        <w:t>Liczba wejść do statusu &gt;30 dni opóźnienia w portfelu</w:t>
      </w:r>
      <w:r>
        <w:t xml:space="preserve"> </w:t>
      </w:r>
      <w:r w:rsidRPr="006671D2">
        <w:t>złotowym i frankowym. Dane miesięczne z lat 2018–2019</w:t>
      </w:r>
      <w:r w:rsidR="00B750CB">
        <w:rPr>
          <w:vertAlign w:val="superscript"/>
        </w:rPr>
        <w:t>[1]</w:t>
      </w:r>
    </w:p>
    <w:p w14:paraId="121156B7" w14:textId="77777777" w:rsidR="00B97CF6" w:rsidRDefault="00B97CF6" w:rsidP="00B97CF6">
      <w:pPr>
        <w:keepNext/>
        <w:jc w:val="center"/>
      </w:pPr>
      <w:r w:rsidRPr="00B97CF6">
        <w:rPr>
          <w:noProof/>
        </w:rPr>
        <w:lastRenderedPageBreak/>
        <w:drawing>
          <wp:inline distT="0" distB="0" distL="0" distR="0" wp14:anchorId="1F0B5117" wp14:editId="57290DC5">
            <wp:extent cx="4680000" cy="2532421"/>
            <wp:effectExtent l="0" t="0" r="6350" b="12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532421"/>
                    </a:xfrm>
                    <a:prstGeom prst="rect">
                      <a:avLst/>
                    </a:prstGeom>
                  </pic:spPr>
                </pic:pic>
              </a:graphicData>
            </a:graphic>
          </wp:inline>
        </w:drawing>
      </w:r>
    </w:p>
    <w:p w14:paraId="3E2201BD" w14:textId="5D697219" w:rsidR="00B97CF6" w:rsidRDefault="00B97CF6" w:rsidP="00E81931">
      <w:pPr>
        <w:pStyle w:val="Caption"/>
      </w:pPr>
      <w:r>
        <w:t xml:space="preserve">Wykres </w:t>
      </w:r>
      <w:fldSimple w:instr=" SEQ Wykres \* ARABIC ">
        <w:r w:rsidR="00923B29">
          <w:rPr>
            <w:noProof/>
          </w:rPr>
          <w:t>14</w:t>
        </w:r>
      </w:fldSimple>
      <w:r>
        <w:t xml:space="preserve">. </w:t>
      </w:r>
      <w:r w:rsidRPr="0001343A">
        <w:t>Liczba wejść do statusu &gt;90 dni opóźnienia w portfelu</w:t>
      </w:r>
      <w:r>
        <w:t xml:space="preserve"> </w:t>
      </w:r>
      <w:r w:rsidRPr="0001343A">
        <w:t>złotowym i frankowym. Dane miesięczne z lat 2018–2019</w:t>
      </w:r>
      <w:r w:rsidR="00B750CB">
        <w:rPr>
          <w:vertAlign w:val="superscript"/>
        </w:rPr>
        <w:t>[1]</w:t>
      </w:r>
    </w:p>
    <w:p w14:paraId="2324555F" w14:textId="50396C98" w:rsidR="00B97CF6" w:rsidRPr="00B97CF6" w:rsidRDefault="00B97CF6" w:rsidP="00B97CF6">
      <w:r>
        <w:t xml:space="preserve">Stabilna jest jakoś kredytów (zarówno złotowych, jak i frankowych) mierzona odsetkiem wejść w status pierwszych opóźnień (ponad 30 dni) oraz poważnych opóźnień (ponad 90 dni). W 2019 roku liczba rachunków wchodzących w status pierwszych opóźnień </w:t>
      </w:r>
      <w:r w:rsidR="0095113A">
        <w:t xml:space="preserve">spadła minimalnie dla kredytów frankowych i wzrosła minimalnie dla kredytów złotowych. Wartym zauważenia jest również stosunek wejść w status pierwszych opóźnień do wejść w status poważnych opóźnień. Dla kredytów złotowych wejść w poważne opóźnienia jest 3,8 razy mniej niż wejść w pierwsze opóźnienia. Dla kredytów frankowych wejść w poważne opóźnienia jest 4,3 razy mniej niż wejść w pierwsze opóźnienia. Oznacza to, że większość wczesnych zaległość regulowana jest przed przejściem w opóźnienia długoterminowe. </w:t>
      </w:r>
    </w:p>
    <w:p w14:paraId="64F7F96B" w14:textId="248AF644" w:rsidR="00912C20" w:rsidRDefault="00912C20" w:rsidP="00912C20">
      <w:pPr>
        <w:pStyle w:val="Heading1"/>
      </w:pPr>
      <w:bookmarkStart w:id="8" w:name="_Toc62678976"/>
      <w:r>
        <w:lastRenderedPageBreak/>
        <w:t>Rynek walutowy</w:t>
      </w:r>
      <w:bookmarkEnd w:id="8"/>
    </w:p>
    <w:p w14:paraId="02164B40" w14:textId="00E94877" w:rsidR="00912C20" w:rsidRDefault="00E54F2C" w:rsidP="00912C20">
      <w:r>
        <w:t>Rynek finansowy można podzielić na 3 zasadnicze części:</w:t>
      </w:r>
    </w:p>
    <w:p w14:paraId="108D9F8D" w14:textId="0DC7347C" w:rsidR="00E54F2C" w:rsidRDefault="00E54F2C" w:rsidP="00E54F2C">
      <w:pPr>
        <w:pStyle w:val="ListParagraph"/>
        <w:numPr>
          <w:ilvl w:val="0"/>
          <w:numId w:val="5"/>
        </w:numPr>
      </w:pPr>
      <w:r>
        <w:t>rynek kapitałowy – tworzony przez giełdy papierów wartościowych, na nim inwestorzy kupują oraz sprzedają akcje, obligacje i instrumenty pochodne (termin zapadalności dłuższy niż 1 rok),</w:t>
      </w:r>
    </w:p>
    <w:p w14:paraId="47FB3FF8" w14:textId="7C12F20A" w:rsidR="00E54F2C" w:rsidRDefault="00E54F2C" w:rsidP="00E54F2C">
      <w:pPr>
        <w:pStyle w:val="ListParagraph"/>
        <w:numPr>
          <w:ilvl w:val="0"/>
          <w:numId w:val="5"/>
        </w:numPr>
      </w:pPr>
      <w:r>
        <w:t>rynek pieniężny – zawiera instrumenty finansowe o terminie zapadalności krótszym niż 1 rok, np. bony skarbowe,</w:t>
      </w:r>
    </w:p>
    <w:p w14:paraId="7DDC60EA" w14:textId="068F76A1" w:rsidR="00E54F2C" w:rsidRDefault="00E54F2C" w:rsidP="00E54F2C">
      <w:pPr>
        <w:pStyle w:val="ListParagraph"/>
        <w:numPr>
          <w:ilvl w:val="0"/>
          <w:numId w:val="5"/>
        </w:numPr>
      </w:pPr>
      <w:r>
        <w:t>rynek walutowy – przedmiotem wymiany są tu waluty</w:t>
      </w:r>
    </w:p>
    <w:p w14:paraId="48C6B257" w14:textId="16BBA0C0" w:rsidR="00E54F2C" w:rsidRDefault="00E54F2C" w:rsidP="00E54F2C">
      <w:r>
        <w:t>Rynek walutowy</w:t>
      </w:r>
      <w:r w:rsidR="00FB65EA">
        <w:t xml:space="preserve"> powszechnie nazywany jest FOREX albo FX (akronimy pochodzące od angielskiego </w:t>
      </w:r>
      <w:proofErr w:type="spellStart"/>
      <w:r w:rsidR="00FB65EA">
        <w:t>Foreign</w:t>
      </w:r>
      <w:proofErr w:type="spellEnd"/>
      <w:r w:rsidR="00FB65EA">
        <w:t xml:space="preserve"> Exchange). Jest rynkiem nieregulowanym (OTC – </w:t>
      </w:r>
      <w:proofErr w:type="spellStart"/>
      <w:r w:rsidR="00FB65EA">
        <w:t>Over</w:t>
      </w:r>
      <w:proofErr w:type="spellEnd"/>
      <w:r w:rsidR="00FB65EA">
        <w:t xml:space="preserve"> The </w:t>
      </w:r>
      <w:proofErr w:type="spellStart"/>
      <w:r w:rsidR="00FB65EA">
        <w:t>Counter</w:t>
      </w:r>
      <w:proofErr w:type="spellEnd"/>
      <w:r w:rsidR="00FB65EA">
        <w:t>) na którym obrót odbywa się poprzez wiele pojedynczych transakcji pomiędzy uczestnikami. W rzeczywistości na rynku handel odbywa się za pomocą stałego mechanizmu:</w:t>
      </w:r>
    </w:p>
    <w:p w14:paraId="3C8AD9CF" w14:textId="342E43C9" w:rsidR="004F6622" w:rsidRDefault="004F6622" w:rsidP="004F6622">
      <w:pPr>
        <w:keepNext/>
        <w:jc w:val="center"/>
      </w:pPr>
      <w:r>
        <w:rPr>
          <w:noProof/>
        </w:rPr>
        <w:drawing>
          <wp:inline distT="0" distB="0" distL="0" distR="0" wp14:anchorId="797E8991" wp14:editId="21B65137">
            <wp:extent cx="914400" cy="914400"/>
            <wp:effectExtent l="0" t="0" r="0" b="0"/>
            <wp:docPr id="12" name="Grafika 12" descr="Mężczy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7E0D53AF" wp14:editId="13E0D0B5">
                <wp:extent cx="1104900" cy="914400"/>
                <wp:effectExtent l="0" t="19050" r="38100" b="38100"/>
                <wp:docPr id="22" name="Strzałka: w prawo 22"/>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6621313E" w14:textId="77777777" w:rsidR="009B5F1D" w:rsidRDefault="009B5F1D"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E0D5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2" o:spid="_x0000_s1027"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H0Wo7dAIAAC0FAAAOAAAAAAAAAAAA&#10;AAAAAC4CAABkcnMvZTJvRG9jLnhtbFBLAQItABQABgAIAAAAIQBZXsMZ2gAAAAUBAAAPAAAAAAAA&#10;AAAAAAAAAM4EAABkcnMvZG93bnJldi54bWxQSwUGAAAAAAQABADzAAAA1QUAAAAA&#10;" adj="12662" fillcolor="white [3201]" strokecolor="black [3200]" strokeweight="1pt">
                <v:textbox>
                  <w:txbxContent>
                    <w:p w14:paraId="6621313E" w14:textId="77777777" w:rsidR="009B5F1D" w:rsidRDefault="009B5F1D" w:rsidP="004F6622">
                      <w:pPr>
                        <w:jc w:val="center"/>
                      </w:pPr>
                      <w:r>
                        <w:t>Zlecenie</w:t>
                      </w:r>
                    </w:p>
                  </w:txbxContent>
                </v:textbox>
                <w10:anchorlock/>
              </v:shape>
            </w:pict>
          </mc:Fallback>
        </mc:AlternateContent>
      </w:r>
      <w:r>
        <w:rPr>
          <w:noProof/>
        </w:rPr>
        <w:drawing>
          <wp:inline distT="0" distB="0" distL="0" distR="0" wp14:anchorId="531D9FCC" wp14:editId="01A2451E">
            <wp:extent cx="914400" cy="914400"/>
            <wp:effectExtent l="0" t="0" r="0" b="0"/>
            <wp:docPr id="18" name="Grafika 18" descr="Budy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ilding.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6DEB4BCF" wp14:editId="76C84393">
                <wp:extent cx="1104900" cy="914400"/>
                <wp:effectExtent l="0" t="19050" r="38100" b="38100"/>
                <wp:docPr id="24" name="Strzałka: w prawo 24"/>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072511F3" w14:textId="77777777" w:rsidR="009B5F1D" w:rsidRDefault="009B5F1D"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EB4BCF" id="Strzałka: w prawo 24" o:spid="_x0000_s1028"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Sc4KtdAIAAC0FAAAOAAAAAAAAAAAA&#10;AAAAAC4CAABkcnMvZTJvRG9jLnhtbFBLAQItABQABgAIAAAAIQBZXsMZ2gAAAAUBAAAPAAAAAAAA&#10;AAAAAAAAAM4EAABkcnMvZG93bnJldi54bWxQSwUGAAAAAAQABADzAAAA1QUAAAAA&#10;" adj="12662" fillcolor="white [3201]" strokecolor="black [3200]" strokeweight="1pt">
                <v:textbox>
                  <w:txbxContent>
                    <w:p w14:paraId="072511F3" w14:textId="77777777" w:rsidR="009B5F1D" w:rsidRDefault="009B5F1D" w:rsidP="004F6622">
                      <w:pPr>
                        <w:jc w:val="center"/>
                      </w:pPr>
                      <w:r>
                        <w:t>Zlecenie</w:t>
                      </w:r>
                    </w:p>
                  </w:txbxContent>
                </v:textbox>
                <w10:anchorlock/>
              </v:shape>
            </w:pict>
          </mc:Fallback>
        </mc:AlternateContent>
      </w:r>
      <w:r>
        <w:rPr>
          <w:noProof/>
        </w:rPr>
        <w:drawing>
          <wp:inline distT="0" distB="0" distL="0" distR="0" wp14:anchorId="6FEB6C51" wp14:editId="4D3E7327">
            <wp:extent cx="914400" cy="914400"/>
            <wp:effectExtent l="0" t="0" r="0" b="0"/>
            <wp:docPr id="19" name="Grafika 19"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nk.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inline>
        </w:drawing>
      </w:r>
    </w:p>
    <w:p w14:paraId="7EE486D0" w14:textId="2F3866FC" w:rsidR="004F6622" w:rsidRDefault="004F6622" w:rsidP="004F6622">
      <w:pPr>
        <w:pStyle w:val="Caption"/>
      </w:pPr>
      <w:bookmarkStart w:id="9" w:name="_Toc62636618"/>
      <w:r>
        <w:t xml:space="preserve">Rysunek </w:t>
      </w:r>
      <w:fldSimple w:instr=" SEQ Rysunek \* ARABIC ">
        <w:r w:rsidR="00923B29">
          <w:rPr>
            <w:noProof/>
          </w:rPr>
          <w:t>1</w:t>
        </w:r>
      </w:fldSimple>
      <w:r>
        <w:t>. Diagram przedstawiający mechanizm działania rynku walutowego</w:t>
      </w:r>
      <w:bookmarkEnd w:id="9"/>
    </w:p>
    <w:p w14:paraId="3D5F9947" w14:textId="7884E4A3" w:rsidR="00FB65EA" w:rsidRDefault="00FB65EA" w:rsidP="00E54F2C">
      <w:r>
        <w:t>Klienci indywidualni zlecają zakup/sprzedaż waluty firmom brokerskim, które następnie zlecają to międzynarodowym podmiotom bankowym, które dokonują między sobą transakcji o ogromnym wolumenie.</w:t>
      </w:r>
    </w:p>
    <w:p w14:paraId="7F6BE1A1" w14:textId="77777777" w:rsidR="00EF0E5B" w:rsidRDefault="00EF0E5B" w:rsidP="00EF0E5B">
      <w:pPr>
        <w:keepNext/>
        <w:jc w:val="center"/>
      </w:pPr>
      <w:r w:rsidRPr="008913DB">
        <w:rPr>
          <w:noProof/>
        </w:rPr>
        <w:drawing>
          <wp:inline distT="0" distB="0" distL="0" distR="0" wp14:anchorId="09F563E5" wp14:editId="26061020">
            <wp:extent cx="5760085" cy="302133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021330"/>
                    </a:xfrm>
                    <a:prstGeom prst="rect">
                      <a:avLst/>
                    </a:prstGeom>
                  </pic:spPr>
                </pic:pic>
              </a:graphicData>
            </a:graphic>
          </wp:inline>
        </w:drawing>
      </w:r>
    </w:p>
    <w:p w14:paraId="68BBDC0A" w14:textId="657F89B5" w:rsidR="00EF0E5B" w:rsidRDefault="00EF0E5B" w:rsidP="00EF0E5B">
      <w:pPr>
        <w:pStyle w:val="Caption"/>
      </w:pPr>
      <w:bookmarkStart w:id="10" w:name="_Toc62636619"/>
      <w:r>
        <w:t xml:space="preserve">Rysunek </w:t>
      </w:r>
      <w:fldSimple w:instr=" SEQ Rysunek \* ARABIC ">
        <w:r w:rsidR="00923B29">
          <w:rPr>
            <w:noProof/>
          </w:rPr>
          <w:t>2</w:t>
        </w:r>
      </w:fldSimple>
      <w:r>
        <w:t>. Mapa najistotniejszych centrów finansowych rynku walutowego</w:t>
      </w:r>
      <w:bookmarkEnd w:id="10"/>
    </w:p>
    <w:p w14:paraId="2C6F6FA6" w14:textId="39AA667B" w:rsidR="004F6622" w:rsidRPr="00667C2B" w:rsidRDefault="004F6622" w:rsidP="00E54F2C">
      <w:pPr>
        <w:rPr>
          <w:vertAlign w:val="superscript"/>
        </w:rPr>
      </w:pPr>
      <w:r>
        <w:t>Handel na rynku walutowym odbywa się 24 godziny na dobę, od poniedziałku do piątku. Najważniejszymi centrami finansowymi z punktu widzenia wymiany walut pod względem liczby i wielkości zawieranych transakcji są:</w:t>
      </w:r>
      <w:r w:rsidR="00667C2B">
        <w:rPr>
          <w:vertAlign w:val="superscript"/>
        </w:rPr>
        <w:t>[4]</w:t>
      </w:r>
    </w:p>
    <w:p w14:paraId="7B4A4F64" w14:textId="7A884C4D" w:rsidR="0076689F" w:rsidRDefault="0076689F" w:rsidP="0076689F">
      <w:pPr>
        <w:pStyle w:val="ListParagraph"/>
        <w:numPr>
          <w:ilvl w:val="0"/>
          <w:numId w:val="6"/>
        </w:numPr>
      </w:pPr>
      <w:r>
        <w:t>w Europie</w:t>
      </w:r>
    </w:p>
    <w:p w14:paraId="149FA5C5" w14:textId="21B5D5CD" w:rsidR="0076689F" w:rsidRDefault="0076689F" w:rsidP="0076689F">
      <w:pPr>
        <w:pStyle w:val="ListParagraph"/>
        <w:numPr>
          <w:ilvl w:val="1"/>
          <w:numId w:val="6"/>
        </w:numPr>
      </w:pPr>
      <w:r>
        <w:t>Frankfurt,</w:t>
      </w:r>
    </w:p>
    <w:p w14:paraId="591A3F59" w14:textId="57D7D15E" w:rsidR="0076689F" w:rsidRDefault="0076689F" w:rsidP="0076689F">
      <w:pPr>
        <w:pStyle w:val="ListParagraph"/>
        <w:numPr>
          <w:ilvl w:val="1"/>
          <w:numId w:val="6"/>
        </w:numPr>
      </w:pPr>
      <w:r>
        <w:lastRenderedPageBreak/>
        <w:t>Londyn,</w:t>
      </w:r>
    </w:p>
    <w:p w14:paraId="23888F2C" w14:textId="331B4638" w:rsidR="0076689F" w:rsidRDefault="0076689F" w:rsidP="0076689F">
      <w:pPr>
        <w:pStyle w:val="ListParagraph"/>
        <w:numPr>
          <w:ilvl w:val="1"/>
          <w:numId w:val="6"/>
        </w:numPr>
      </w:pPr>
      <w:r>
        <w:t>Paryż,</w:t>
      </w:r>
    </w:p>
    <w:p w14:paraId="3861904F" w14:textId="7318C930" w:rsidR="0076689F" w:rsidRDefault="0076689F" w:rsidP="0076689F">
      <w:pPr>
        <w:pStyle w:val="ListParagraph"/>
        <w:numPr>
          <w:ilvl w:val="1"/>
          <w:numId w:val="6"/>
        </w:numPr>
      </w:pPr>
      <w:r>
        <w:t>Zurych,</w:t>
      </w:r>
    </w:p>
    <w:p w14:paraId="6E4E1877" w14:textId="20987D00" w:rsidR="0076689F" w:rsidRDefault="0076689F" w:rsidP="0076689F">
      <w:pPr>
        <w:pStyle w:val="ListParagraph"/>
        <w:numPr>
          <w:ilvl w:val="0"/>
          <w:numId w:val="6"/>
        </w:numPr>
      </w:pPr>
      <w:r>
        <w:t>w Azji</w:t>
      </w:r>
    </w:p>
    <w:p w14:paraId="30E8D15D" w14:textId="3497D7E6" w:rsidR="0076689F" w:rsidRDefault="0076689F" w:rsidP="0076689F">
      <w:pPr>
        <w:pStyle w:val="ListParagraph"/>
        <w:numPr>
          <w:ilvl w:val="1"/>
          <w:numId w:val="6"/>
        </w:numPr>
      </w:pPr>
      <w:r>
        <w:t>Hong Kong,</w:t>
      </w:r>
    </w:p>
    <w:p w14:paraId="4042546B" w14:textId="228D409C" w:rsidR="0076689F" w:rsidRDefault="0076689F" w:rsidP="0076689F">
      <w:pPr>
        <w:pStyle w:val="ListParagraph"/>
        <w:numPr>
          <w:ilvl w:val="1"/>
          <w:numId w:val="6"/>
        </w:numPr>
      </w:pPr>
      <w:r>
        <w:t>Singapur,</w:t>
      </w:r>
    </w:p>
    <w:p w14:paraId="1FF47652" w14:textId="4312224B" w:rsidR="0076689F" w:rsidRDefault="0076689F" w:rsidP="0076689F">
      <w:pPr>
        <w:pStyle w:val="ListParagraph"/>
        <w:numPr>
          <w:ilvl w:val="1"/>
          <w:numId w:val="6"/>
        </w:numPr>
      </w:pPr>
      <w:r>
        <w:t>Tokio,</w:t>
      </w:r>
    </w:p>
    <w:p w14:paraId="29BA66F9" w14:textId="3C107A7B" w:rsidR="0076689F" w:rsidRDefault="0076689F" w:rsidP="0076689F">
      <w:pPr>
        <w:pStyle w:val="ListParagraph"/>
        <w:numPr>
          <w:ilvl w:val="0"/>
          <w:numId w:val="6"/>
        </w:numPr>
      </w:pPr>
      <w:r>
        <w:t>w Australii</w:t>
      </w:r>
    </w:p>
    <w:p w14:paraId="5F3790EE" w14:textId="46ED5F7B" w:rsidR="0076689F" w:rsidRDefault="0076689F" w:rsidP="0076689F">
      <w:pPr>
        <w:pStyle w:val="ListParagraph"/>
        <w:numPr>
          <w:ilvl w:val="1"/>
          <w:numId w:val="6"/>
        </w:numPr>
      </w:pPr>
      <w:r>
        <w:t>Sydney,</w:t>
      </w:r>
    </w:p>
    <w:p w14:paraId="1B74DB69" w14:textId="28A27121" w:rsidR="0076689F" w:rsidRDefault="0076689F" w:rsidP="0076689F">
      <w:pPr>
        <w:pStyle w:val="ListParagraph"/>
        <w:numPr>
          <w:ilvl w:val="0"/>
          <w:numId w:val="6"/>
        </w:numPr>
      </w:pPr>
      <w:r>
        <w:t>w Amerykach</w:t>
      </w:r>
    </w:p>
    <w:p w14:paraId="7ADACDCF" w14:textId="51A55D7C" w:rsidR="0076689F" w:rsidRDefault="0076689F" w:rsidP="0076689F">
      <w:pPr>
        <w:pStyle w:val="ListParagraph"/>
        <w:numPr>
          <w:ilvl w:val="1"/>
          <w:numId w:val="6"/>
        </w:numPr>
      </w:pPr>
      <w:r>
        <w:t>Nowy Jork.</w:t>
      </w:r>
    </w:p>
    <w:p w14:paraId="54919C98" w14:textId="69A369CE" w:rsidR="00570B32" w:rsidRDefault="00723D7B" w:rsidP="00570B32">
      <w:pPr>
        <w:keepNext/>
        <w:jc w:val="center"/>
      </w:pPr>
      <w:r w:rsidRPr="00723D7B">
        <w:rPr>
          <w:noProof/>
        </w:rPr>
        <w:drawing>
          <wp:inline distT="0" distB="0" distL="0" distR="0" wp14:anchorId="0AC46647" wp14:editId="72CAD03B">
            <wp:extent cx="5760085" cy="332359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323590"/>
                    </a:xfrm>
                    <a:prstGeom prst="rect">
                      <a:avLst/>
                    </a:prstGeom>
                  </pic:spPr>
                </pic:pic>
              </a:graphicData>
            </a:graphic>
          </wp:inline>
        </w:drawing>
      </w:r>
    </w:p>
    <w:p w14:paraId="50005149" w14:textId="5F8F02A7" w:rsidR="00EF0E5B" w:rsidRPr="00570B32" w:rsidRDefault="00570B32" w:rsidP="00570B32">
      <w:pPr>
        <w:pStyle w:val="Caption"/>
        <w:rPr>
          <w:vertAlign w:val="superscript"/>
        </w:rPr>
      </w:pPr>
      <w:bookmarkStart w:id="11" w:name="_Toc62636476"/>
      <w:r>
        <w:t xml:space="preserve">Tabela </w:t>
      </w:r>
      <w:fldSimple w:instr=" SEQ Tabela \* ARABIC ">
        <w:r w:rsidR="00923B29">
          <w:rPr>
            <w:noProof/>
          </w:rPr>
          <w:t>1</w:t>
        </w:r>
      </w:fldSimple>
      <w:r>
        <w:t>. Rozkład walut obrotu walutowego na FOREX</w:t>
      </w:r>
      <w:r>
        <w:rPr>
          <w:vertAlign w:val="superscript"/>
        </w:rPr>
        <w:t>[</w:t>
      </w:r>
      <w:r w:rsidR="00667C2B">
        <w:rPr>
          <w:vertAlign w:val="superscript"/>
        </w:rPr>
        <w:t>5</w:t>
      </w:r>
      <w:r>
        <w:rPr>
          <w:vertAlign w:val="superscript"/>
        </w:rPr>
        <w:t>]</w:t>
      </w:r>
      <w:bookmarkEnd w:id="11"/>
    </w:p>
    <w:p w14:paraId="43A69AAE" w14:textId="4D1D0034" w:rsidR="008913DB" w:rsidRDefault="00570B32" w:rsidP="008913DB">
      <w:r>
        <w:t xml:space="preserve">Według ukazującego się co 3 lata raportu Banku Rozrachunków Międzynarodowych (BIS – Bank for International </w:t>
      </w:r>
      <w:proofErr w:type="spellStart"/>
      <w:r>
        <w:t>Settlements</w:t>
      </w:r>
      <w:proofErr w:type="spellEnd"/>
      <w:r>
        <w:t>) najpopularniejszymi walutami na FOREX w</w:t>
      </w:r>
      <w:r w:rsidR="00723D7B">
        <w:t xml:space="preserve"> kwietniu</w:t>
      </w:r>
      <w:r>
        <w:t xml:space="preserve"> 2019 roku były:</w:t>
      </w:r>
    </w:p>
    <w:p w14:paraId="2BFFC5FA" w14:textId="0BC22E9A" w:rsidR="00570B32" w:rsidRDefault="00570B32" w:rsidP="00570B32">
      <w:pPr>
        <w:pStyle w:val="ListParagraph"/>
        <w:numPr>
          <w:ilvl w:val="0"/>
          <w:numId w:val="7"/>
        </w:numPr>
      </w:pPr>
      <w:r>
        <w:t>USD – dolar amerykański</w:t>
      </w:r>
    </w:p>
    <w:p w14:paraId="6BFC96E3" w14:textId="3064B1E0" w:rsidR="00570B32" w:rsidRDefault="00570B32" w:rsidP="00570B32">
      <w:pPr>
        <w:pStyle w:val="ListParagraph"/>
        <w:numPr>
          <w:ilvl w:val="0"/>
          <w:numId w:val="7"/>
        </w:numPr>
      </w:pPr>
      <w:r>
        <w:t>EUR – euro</w:t>
      </w:r>
    </w:p>
    <w:p w14:paraId="5AD98FBB" w14:textId="63305622" w:rsidR="00570B32" w:rsidRDefault="00570B32" w:rsidP="00570B32">
      <w:pPr>
        <w:pStyle w:val="ListParagraph"/>
        <w:numPr>
          <w:ilvl w:val="0"/>
          <w:numId w:val="7"/>
        </w:numPr>
      </w:pPr>
      <w:r>
        <w:t>JPY – jen japoński</w:t>
      </w:r>
    </w:p>
    <w:p w14:paraId="28541947" w14:textId="3EB07364" w:rsidR="00570B32" w:rsidRDefault="00570B32" w:rsidP="00570B32">
      <w:pPr>
        <w:pStyle w:val="ListParagraph"/>
        <w:numPr>
          <w:ilvl w:val="0"/>
          <w:numId w:val="7"/>
        </w:numPr>
      </w:pPr>
      <w:r>
        <w:t>GBP – funt brytyjski</w:t>
      </w:r>
    </w:p>
    <w:p w14:paraId="0B642FE3" w14:textId="668A2914" w:rsidR="00570B32" w:rsidRDefault="00570B32" w:rsidP="00570B32">
      <w:pPr>
        <w:pStyle w:val="ListParagraph"/>
        <w:numPr>
          <w:ilvl w:val="0"/>
          <w:numId w:val="7"/>
        </w:numPr>
      </w:pPr>
      <w:r>
        <w:t xml:space="preserve">AUD – dolar </w:t>
      </w:r>
      <w:r w:rsidR="003A1CD6">
        <w:t>australijski</w:t>
      </w:r>
    </w:p>
    <w:p w14:paraId="1A593D95" w14:textId="4ED27726" w:rsidR="00570B32" w:rsidRDefault="00723D7B" w:rsidP="00570B32">
      <w:r>
        <w:t>Tylko te 5 walut brało udział w 78,5% transakcji zawieranych na rynku walutowym. Polski złoty znalazł się na 23 miejscu zestawienia, odpowiadając za 0,3% transakcji.</w:t>
      </w:r>
    </w:p>
    <w:p w14:paraId="3EA65FE4" w14:textId="77777777" w:rsidR="009C5B58" w:rsidRDefault="009C5B58" w:rsidP="009C5B58">
      <w:pPr>
        <w:keepNext/>
      </w:pPr>
      <w:r w:rsidRPr="009C5B58">
        <w:rPr>
          <w:noProof/>
        </w:rPr>
        <w:lastRenderedPageBreak/>
        <w:drawing>
          <wp:inline distT="0" distB="0" distL="0" distR="0" wp14:anchorId="383CFE29" wp14:editId="3AB1B429">
            <wp:extent cx="5760085" cy="274447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744470"/>
                    </a:xfrm>
                    <a:prstGeom prst="rect">
                      <a:avLst/>
                    </a:prstGeom>
                  </pic:spPr>
                </pic:pic>
              </a:graphicData>
            </a:graphic>
          </wp:inline>
        </w:drawing>
      </w:r>
    </w:p>
    <w:p w14:paraId="7B31C0CC" w14:textId="72D04D0D" w:rsidR="009C5B58" w:rsidRPr="00113D30" w:rsidRDefault="009C5B58" w:rsidP="009C5B58">
      <w:pPr>
        <w:pStyle w:val="Caption"/>
        <w:rPr>
          <w:vertAlign w:val="superscript"/>
        </w:rPr>
      </w:pPr>
      <w:bookmarkStart w:id="12" w:name="_Toc62636477"/>
      <w:r>
        <w:t xml:space="preserve">Tabela </w:t>
      </w:r>
      <w:fldSimple w:instr=" SEQ Tabela \* ARABIC ">
        <w:r w:rsidR="00923B29">
          <w:rPr>
            <w:noProof/>
          </w:rPr>
          <w:t>2</w:t>
        </w:r>
      </w:fldSimple>
      <w:r>
        <w:t>.</w:t>
      </w:r>
      <w:r w:rsidR="00113D30">
        <w:t xml:space="preserve"> Średnie dzienne obrotu na rynku FOREX</w:t>
      </w:r>
      <w:r w:rsidR="00113D30">
        <w:rPr>
          <w:vertAlign w:val="superscript"/>
        </w:rPr>
        <w:t>[</w:t>
      </w:r>
      <w:r w:rsidR="00667C2B">
        <w:rPr>
          <w:vertAlign w:val="superscript"/>
        </w:rPr>
        <w:t>5</w:t>
      </w:r>
      <w:r w:rsidR="00113D30">
        <w:rPr>
          <w:vertAlign w:val="superscript"/>
        </w:rPr>
        <w:t>]</w:t>
      </w:r>
      <w:bookmarkEnd w:id="12"/>
    </w:p>
    <w:p w14:paraId="284BA949" w14:textId="1D398E6D" w:rsidR="009C5B58" w:rsidRDefault="009C5B58" w:rsidP="00570B32">
      <w:r>
        <w:t>Wartość transakcji zawieranych na rynku walutowym jest ogromna. W kwietniu 2019 roku przeciętna dzienna wartość obrotów na rynku FOREX wyniosła 6,59 bln dolarów amerykańskich.</w:t>
      </w:r>
      <w:r w:rsidR="00113D30">
        <w:t xml:space="preserve"> Widać trend rosnący dla wartości, która w ciągu 15 lat (2004-2019) powiększyła się 3,4 razy. </w:t>
      </w:r>
    </w:p>
    <w:p w14:paraId="4419A106" w14:textId="65EDB34A" w:rsidR="00113D30" w:rsidRDefault="00113D30" w:rsidP="00570B32">
      <w:r>
        <w:t>Na rynku walutowym zawiera się transakcje o różnym charakterze. Można podzielić je ze względu na motywację stron zawierających i wtedy wyróżnia się następujące typy operacji:</w:t>
      </w:r>
    </w:p>
    <w:p w14:paraId="6B03FCF7" w14:textId="78B56BF5" w:rsidR="00113D30" w:rsidRDefault="003A1CD6" w:rsidP="00113D30">
      <w:pPr>
        <w:pStyle w:val="ListParagraph"/>
        <w:numPr>
          <w:ilvl w:val="0"/>
          <w:numId w:val="8"/>
        </w:numPr>
      </w:pPr>
      <w:r>
        <w:t>i</w:t>
      </w:r>
      <w:r w:rsidR="00113D30">
        <w:t>nwestycyjne</w:t>
      </w:r>
    </w:p>
    <w:p w14:paraId="7A89A8FF" w14:textId="6687FA8D" w:rsidR="00113D30" w:rsidRDefault="003A1CD6" w:rsidP="00113D30">
      <w:pPr>
        <w:pStyle w:val="ListParagraph"/>
        <w:numPr>
          <w:ilvl w:val="0"/>
          <w:numId w:val="8"/>
        </w:numPr>
      </w:pPr>
      <w:r>
        <w:t>s</w:t>
      </w:r>
      <w:r w:rsidR="00113D30">
        <w:t>pekulacyjne</w:t>
      </w:r>
    </w:p>
    <w:p w14:paraId="1CD58E62" w14:textId="6EF2AE78" w:rsidR="00113D30" w:rsidRDefault="003A1CD6" w:rsidP="00113D30">
      <w:pPr>
        <w:pStyle w:val="ListParagraph"/>
        <w:numPr>
          <w:ilvl w:val="0"/>
          <w:numId w:val="8"/>
        </w:numPr>
      </w:pPr>
      <w:proofErr w:type="spellStart"/>
      <w:r>
        <w:t>h</w:t>
      </w:r>
      <w:r w:rsidR="00113D30">
        <w:t>edgingowe</w:t>
      </w:r>
      <w:proofErr w:type="spellEnd"/>
    </w:p>
    <w:p w14:paraId="428ECE19" w14:textId="262B223E" w:rsidR="00113D30" w:rsidRDefault="003A1CD6" w:rsidP="00113D30">
      <w:pPr>
        <w:pStyle w:val="ListParagraph"/>
        <w:numPr>
          <w:ilvl w:val="0"/>
          <w:numId w:val="8"/>
        </w:numPr>
      </w:pPr>
      <w:r>
        <w:t>a</w:t>
      </w:r>
      <w:r w:rsidR="00113D30">
        <w:t>rbitrażowe</w:t>
      </w:r>
    </w:p>
    <w:p w14:paraId="2D6626A2" w14:textId="7091C68B" w:rsidR="00113D30" w:rsidRDefault="00113D30" w:rsidP="00113D30">
      <w:r>
        <w:t>Transakcje inwestycyjne zawierane są z długim horyzontem czasowym</w:t>
      </w:r>
      <w:r w:rsidR="009B5F1D">
        <w:t xml:space="preserve">, a wybrana waluta związana jest najczęściej z przekonaniem co do pozycji gospodarki danego państwa, a co za tym idzie również jego waluty. Zalicza się tu również transakcje, gdzie wymiana waluty jest tylko środkiem do realizacji celu (np. zagraniczny przedsiębiorca wymienia swoją narodową walutę na PLN w celu otwarcia siedziby w Polsce). </w:t>
      </w:r>
    </w:p>
    <w:p w14:paraId="1E1B14DA" w14:textId="11FCF720" w:rsidR="009B5F1D" w:rsidRDefault="009B5F1D" w:rsidP="00113D30">
      <w:r>
        <w:t>Transakcje spekulacyjne</w:t>
      </w:r>
      <w:r w:rsidR="003A1CD6">
        <w:t xml:space="preserve"> zawierane są z dużo krótszym horyzontem czasowym, dochodzącym nawet do kilku minut lub sekund. Zawierane są na podstawie przekonania co do kształtowania się krótkookresowego kursu danej waluty. </w:t>
      </w:r>
    </w:p>
    <w:p w14:paraId="6D18D525" w14:textId="77777777" w:rsidR="003A1CD6" w:rsidRDefault="003A1CD6" w:rsidP="00113D30">
      <w:r>
        <w:t xml:space="preserve">Transakcje </w:t>
      </w:r>
      <w:proofErr w:type="spellStart"/>
      <w:r>
        <w:t>hedgingowe</w:t>
      </w:r>
      <w:proofErr w:type="spellEnd"/>
      <w:r>
        <w:t xml:space="preserve"> (zabezpieczające) mają na celu zabezpieczenie przed ryzykiem kursu walutowego. Wykorzystywane są najczęściej przez eksporterów którzy narażeni są na zmianę kursu waluty w której otrzymują zapłatę do waluty ich kraju. Aby się przed tym uchronić zawierają odpowiednie transakcje na rynku </w:t>
      </w:r>
      <w:proofErr w:type="spellStart"/>
      <w:r>
        <w:t>Forex</w:t>
      </w:r>
      <w:proofErr w:type="spellEnd"/>
      <w:r>
        <w:t xml:space="preserve"> dzięki czemu mogą rekompensować straty w przypadku osłabienia się obcej waluty w stosunku do waluty ich kraju.</w:t>
      </w:r>
    </w:p>
    <w:p w14:paraId="30A15334" w14:textId="62AF9809" w:rsidR="003A1CD6" w:rsidRDefault="003A1CD6" w:rsidP="00113D30">
      <w:r>
        <w:t>Transakcje arbitrażowe są to transakcje pozbawione ryzyka. Polegają na wyszukiwaniu i wykorzystywaniu czasowej nieefektywności rynku do zawarcia konkretnych kontraktów</w:t>
      </w:r>
      <w:r w:rsidR="00290405">
        <w:t xml:space="preserve"> kupna/sprzedaży. Zysk z pojedynczej transakcji arbitrażowej jest zazwyczaj niewielki, przez co staje się opłacalny tylko w przypadku dysponowania dużymi zasobami finansowymi. Klasycznym przykładem jest taki układ trzech kursów który gwarantuje zysk, np.:</w:t>
      </w:r>
    </w:p>
    <w:p w14:paraId="05688E7B" w14:textId="5E8A3E53" w:rsidR="00290405" w:rsidRDefault="00290405" w:rsidP="00290405">
      <w:pPr>
        <w:pStyle w:val="ListParagraph"/>
        <w:numPr>
          <w:ilvl w:val="0"/>
          <w:numId w:val="10"/>
        </w:numPr>
      </w:pPr>
      <w:r>
        <w:t xml:space="preserve">waluta2/waluta1 = </w:t>
      </w:r>
      <w:r w:rsidR="00BD5BAB">
        <w:t>4</w:t>
      </w:r>
    </w:p>
    <w:p w14:paraId="1C22DB48" w14:textId="6D5E2933" w:rsidR="00290405" w:rsidRDefault="00290405" w:rsidP="00290405">
      <w:pPr>
        <w:pStyle w:val="ListParagraph"/>
        <w:numPr>
          <w:ilvl w:val="0"/>
          <w:numId w:val="10"/>
        </w:numPr>
      </w:pPr>
      <w:r>
        <w:lastRenderedPageBreak/>
        <w:t xml:space="preserve">waluta3//waluta2 = </w:t>
      </w:r>
      <w:r w:rsidR="00BD5BAB">
        <w:t>2,5</w:t>
      </w:r>
    </w:p>
    <w:p w14:paraId="0C1DA6CB" w14:textId="70492B33" w:rsidR="00290405" w:rsidRDefault="00290405" w:rsidP="00290405">
      <w:pPr>
        <w:pStyle w:val="ListParagraph"/>
        <w:numPr>
          <w:ilvl w:val="0"/>
          <w:numId w:val="10"/>
        </w:numPr>
      </w:pPr>
      <w:r>
        <w:t xml:space="preserve">waluta3/waluta1 = </w:t>
      </w:r>
      <w:r w:rsidR="00BD5BAB">
        <w:t>10,01</w:t>
      </w:r>
    </w:p>
    <w:p w14:paraId="3F1ED26C" w14:textId="47CE35C2" w:rsidR="00290405" w:rsidRDefault="00290405" w:rsidP="00290405">
      <w:r>
        <w:t>Mając 1000</w:t>
      </w:r>
      <w:r w:rsidR="00BD5BAB">
        <w:t xml:space="preserve"> j. waluty 1, inwestor (</w:t>
      </w:r>
      <w:r w:rsidR="00983827">
        <w:t>pomijając koszty zawarcia transakcji</w:t>
      </w:r>
      <w:r w:rsidR="00BD5BAB">
        <w:t>) wymienia j</w:t>
      </w:r>
      <w:r w:rsidR="00983827">
        <w:t>e</w:t>
      </w:r>
      <w:r w:rsidR="00BD5BAB">
        <w:t xml:space="preserve"> na walutę 2 (250 j.), następnie wymienia to na walutę 3 (100 j.) które ponownie wymienia na walutę 1 (1001 j.) co daje mu zysk w wysokości 1 j. waluty 1. </w:t>
      </w:r>
    </w:p>
    <w:p w14:paraId="585AE07A" w14:textId="7144187D" w:rsidR="00BD5BAB" w:rsidRDefault="00BD5BAB" w:rsidP="00290405">
      <w:r>
        <w:t>Rynek walutowy podzielić można również ze względu na termin realizacji transakcji. Wyróżnia się następujące grupy:</w:t>
      </w:r>
    </w:p>
    <w:p w14:paraId="5C6C569D" w14:textId="6B5E2EC2" w:rsidR="00BD5BAB" w:rsidRDefault="00BD5BAB" w:rsidP="00BD5BAB">
      <w:pPr>
        <w:pStyle w:val="ListParagraph"/>
        <w:numPr>
          <w:ilvl w:val="0"/>
          <w:numId w:val="11"/>
        </w:numPr>
      </w:pPr>
      <w:r>
        <w:t>transakcje SPOT</w:t>
      </w:r>
    </w:p>
    <w:p w14:paraId="1734B700" w14:textId="38E1BF7B" w:rsidR="00BD5BAB" w:rsidRDefault="00BD5BAB" w:rsidP="00BD5BAB">
      <w:pPr>
        <w:pStyle w:val="ListParagraph"/>
        <w:numPr>
          <w:ilvl w:val="0"/>
          <w:numId w:val="11"/>
        </w:numPr>
      </w:pPr>
      <w:r>
        <w:t>transakcje terminowe.</w:t>
      </w:r>
    </w:p>
    <w:p w14:paraId="477BA454" w14:textId="2D22C1B8" w:rsidR="00BD5BAB" w:rsidRDefault="00BD5BAB" w:rsidP="00BD5BAB">
      <w:r>
        <w:t xml:space="preserve">Transakcje SPOT to transakcje natychmiastowe. Ustalenie kursu walut oraz rozliczenie odbywa się bardzo szybko, a waluta dostarczana jest już po 2 dniach roboczych. </w:t>
      </w:r>
    </w:p>
    <w:p w14:paraId="296E7D65" w14:textId="264FA841" w:rsidR="00BD5BAB" w:rsidRDefault="00BD5BAB" w:rsidP="00BD5BAB">
      <w:r>
        <w:t>Transakcje terminowe mają czas rozliczenia dłuższy niż 2 dni robocze.</w:t>
      </w:r>
    </w:p>
    <w:p w14:paraId="58F67A96" w14:textId="77777777" w:rsidR="00BD5BAB" w:rsidRDefault="00BD5BAB" w:rsidP="00BD5BAB"/>
    <w:p w14:paraId="467ACF28" w14:textId="2D845606" w:rsidR="00912C20" w:rsidRDefault="00912C20" w:rsidP="00BD5BAB">
      <w:pPr>
        <w:pStyle w:val="Heading2"/>
      </w:pPr>
      <w:bookmarkStart w:id="13" w:name="_Toc62678977"/>
      <w:r>
        <w:t>Źródła danych</w:t>
      </w:r>
      <w:bookmarkEnd w:id="13"/>
    </w:p>
    <w:p w14:paraId="48E4DDA6" w14:textId="4745DD30" w:rsidR="008A10C5" w:rsidRDefault="00B07AF5" w:rsidP="008A10C5">
      <w:r>
        <w:t xml:space="preserve">Kursy walut są bardzo ważną informacją dla wielu osób. Dotyczą one nie tylko eksporterów i importerów, ale również osób, które posiadają zobowiązania finansowe w innej walucie (np. kredyt walutowy) oraz osób, które wyjeżdżają na wakacje za granicę. </w:t>
      </w:r>
    </w:p>
    <w:p w14:paraId="6504C8A1" w14:textId="5604C66A" w:rsidR="007F67AB" w:rsidRDefault="007F67AB" w:rsidP="008A10C5">
      <w:r>
        <w:t xml:space="preserve">Mechanizm kształtowania się kursów walut jest podobny do analogicznych mechanizmów dla innych towarów. Głównym czynnikiem są popyt i podaż, a wyceną jest wartość jednej waluty względem innej. Wszystkie podmioty dokonujące wymiany walut mają wpływ na kształtowanie ceny. </w:t>
      </w:r>
    </w:p>
    <w:p w14:paraId="103CB5BD" w14:textId="77FABD83" w:rsidR="003C6675" w:rsidRDefault="003C6675" w:rsidP="008A10C5">
      <w:r>
        <w:t>Wszystkie czynniki wpływające na kursy walut możemy podzielić w następujący sposób:</w:t>
      </w:r>
    </w:p>
    <w:p w14:paraId="6945324A" w14:textId="4DA08117" w:rsidR="003C6675" w:rsidRDefault="003C6675" w:rsidP="003C6675">
      <w:pPr>
        <w:pStyle w:val="ListParagraph"/>
        <w:numPr>
          <w:ilvl w:val="0"/>
          <w:numId w:val="13"/>
        </w:numPr>
      </w:pPr>
      <w:r>
        <w:t>Czynniki ekonomiczne – zmiany wzrostu gospodarczego, inflacja, stopy procentowe oraz poziom bezrobocia,</w:t>
      </w:r>
    </w:p>
    <w:p w14:paraId="025D90C7" w14:textId="5F447972" w:rsidR="003C6675" w:rsidRDefault="003C6675" w:rsidP="003C6675">
      <w:pPr>
        <w:pStyle w:val="ListParagraph"/>
        <w:numPr>
          <w:ilvl w:val="0"/>
          <w:numId w:val="13"/>
        </w:numPr>
      </w:pPr>
      <w:r>
        <w:t>Czynniki polityczne – zmiany systemowe, stopień stabilności politycznej, programy poszczególnych partii politycznych oraz wydarzenia losowe lub jednorazowe,</w:t>
      </w:r>
    </w:p>
    <w:p w14:paraId="60F3FE54" w14:textId="4305CFE8" w:rsidR="003C6675" w:rsidRDefault="003C6675" w:rsidP="003C6675">
      <w:pPr>
        <w:pStyle w:val="ListParagraph"/>
        <w:numPr>
          <w:ilvl w:val="0"/>
          <w:numId w:val="13"/>
        </w:numPr>
      </w:pPr>
      <w:r>
        <w:t>Czynniki instytucjonalne – inwestycje państwa na rynku walutowym,</w:t>
      </w:r>
    </w:p>
    <w:p w14:paraId="6622078A" w14:textId="0F400859" w:rsidR="003C6675" w:rsidRDefault="003C6675" w:rsidP="003C6675">
      <w:pPr>
        <w:pStyle w:val="ListParagraph"/>
        <w:numPr>
          <w:ilvl w:val="0"/>
          <w:numId w:val="13"/>
        </w:numPr>
      </w:pPr>
      <w:r>
        <w:t xml:space="preserve">Czynniki psychologiczne – emocje ludzi inwestujących na </w:t>
      </w:r>
      <w:proofErr w:type="spellStart"/>
      <w:r>
        <w:t>Forexie</w:t>
      </w:r>
      <w:proofErr w:type="spellEnd"/>
      <w:r>
        <w:t>.</w:t>
      </w:r>
    </w:p>
    <w:p w14:paraId="494238FC" w14:textId="77777777" w:rsidR="003C6675" w:rsidRDefault="003C6675" w:rsidP="003C6675">
      <w:pPr>
        <w:keepNext/>
        <w:jc w:val="center"/>
      </w:pPr>
      <w:r>
        <w:rPr>
          <w:noProof/>
        </w:rPr>
        <w:drawing>
          <wp:inline distT="0" distB="0" distL="0" distR="0" wp14:anchorId="4CFB454D" wp14:editId="37ED6EC6">
            <wp:extent cx="5707380" cy="1676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7380" cy="1676400"/>
                    </a:xfrm>
                    <a:prstGeom prst="rect">
                      <a:avLst/>
                    </a:prstGeom>
                    <a:noFill/>
                    <a:ln>
                      <a:noFill/>
                    </a:ln>
                  </pic:spPr>
                </pic:pic>
              </a:graphicData>
            </a:graphic>
          </wp:inline>
        </w:drawing>
      </w:r>
    </w:p>
    <w:p w14:paraId="268CEF43" w14:textId="3D968FAD" w:rsidR="003C6675" w:rsidRPr="00922E06" w:rsidRDefault="003C6675" w:rsidP="003C6675">
      <w:pPr>
        <w:pStyle w:val="Caption"/>
        <w:jc w:val="left"/>
        <w:rPr>
          <w:vertAlign w:val="superscript"/>
        </w:rPr>
      </w:pPr>
      <w:bookmarkStart w:id="14" w:name="_Toc62636620"/>
      <w:r>
        <w:t xml:space="preserve">Rysunek </w:t>
      </w:r>
      <w:fldSimple w:instr=" SEQ Rysunek \* ARABIC ">
        <w:r w:rsidR="00923B29">
          <w:rPr>
            <w:noProof/>
          </w:rPr>
          <w:t>3</w:t>
        </w:r>
      </w:fldSimple>
      <w:r>
        <w:t>. Czynniki wpływające na kursy walut</w:t>
      </w:r>
      <w:r w:rsidR="00922E06">
        <w:rPr>
          <w:vertAlign w:val="superscript"/>
        </w:rPr>
        <w:t>[6]</w:t>
      </w:r>
      <w:bookmarkEnd w:id="14"/>
    </w:p>
    <w:p w14:paraId="75537333" w14:textId="2EB1D420" w:rsidR="007F67AB" w:rsidRDefault="007F67AB" w:rsidP="008A10C5">
      <w:r>
        <w:t>Bardzo często istotna jest znajomość kursu waluty w czasie rzeczywistym. Są one płynne i potrafią zmieniać się w krótkich okresach, jeżeli tylko dochodzi w nich do wymiany walut. W praktyce kursy aktualizowane są w następującym oknie czasowym:</w:t>
      </w:r>
    </w:p>
    <w:p w14:paraId="7723983A" w14:textId="05EE5F76" w:rsidR="007F67AB" w:rsidRDefault="007F67AB" w:rsidP="007F67AB">
      <w:pPr>
        <w:pStyle w:val="ListParagraph"/>
        <w:numPr>
          <w:ilvl w:val="0"/>
          <w:numId w:val="12"/>
        </w:numPr>
      </w:pPr>
      <w:r>
        <w:t>Od północy w niedzielę (rusza wtedy rynek Azjatycki)</w:t>
      </w:r>
    </w:p>
    <w:p w14:paraId="24D0D8C2" w14:textId="74175E98" w:rsidR="007F67AB" w:rsidRDefault="007F67AB" w:rsidP="007F67AB">
      <w:pPr>
        <w:pStyle w:val="ListParagraph"/>
        <w:numPr>
          <w:ilvl w:val="0"/>
          <w:numId w:val="12"/>
        </w:numPr>
      </w:pPr>
      <w:r>
        <w:t>Do północy w piątek (zamyka się wtedy rynek Amerykański)</w:t>
      </w:r>
    </w:p>
    <w:p w14:paraId="3F94EFBF" w14:textId="322603FE" w:rsidR="007F67AB" w:rsidRDefault="007F67AB" w:rsidP="007F67AB">
      <w:r>
        <w:lastRenderedPageBreak/>
        <w:t>Kursy średnie walut są wyliczane na podstawie informacji</w:t>
      </w:r>
      <w:r w:rsidR="00230AC3">
        <w:t xml:space="preserve"> o wymianie waluty</w:t>
      </w:r>
      <w:r>
        <w:t xml:space="preserve"> przekazywanej przez </w:t>
      </w:r>
      <w:r w:rsidR="00230AC3">
        <w:t>banki oraz inne duże instytucje finansowe do agencji informacyjnych, takich jak Bloomberg czy Thompson Reuters. W odpowiedzi, banki otrzymują informację o kursach średnich i generują wykresy wahań kursowych. Następnie z tych informacji korzystają kantory (stacjonarne oraz internetowe), które do kursów średnich dokładają swoją marżę, a następnie udostępniają te wartości swoim klientom.</w:t>
      </w:r>
    </w:p>
    <w:p w14:paraId="7773EA8E" w14:textId="05F80290" w:rsidR="00346FE6" w:rsidRDefault="00346FE6" w:rsidP="00346FE6">
      <w:pPr>
        <w:pStyle w:val="Heading3"/>
      </w:pPr>
      <w:bookmarkStart w:id="15" w:name="_Toc62678978"/>
      <w:r>
        <w:t>Dane z NBP Web API</w:t>
      </w:r>
      <w:bookmarkEnd w:id="15"/>
    </w:p>
    <w:p w14:paraId="15755567" w14:textId="1029B77B" w:rsidR="00230AC3" w:rsidRDefault="00230AC3" w:rsidP="007F67AB">
      <w:r>
        <w:t xml:space="preserve">Kurs średni podawany przez NBP opiera się na danych z banków. W celu rzetelnego wyliczenia kursu średniego, powinny zostać zebrane informacje o kursach ze wszystkich banków i kantorów, jednak byłoby to zadanie niezwykle trudne w realizacji oraz nieopłacalne. Dlatego NBP swoje wyliczenia opiera na kursach </w:t>
      </w:r>
      <w:r w:rsidRPr="00230AC3">
        <w:t>EUR/PLN i USD/PLN</w:t>
      </w:r>
      <w:r>
        <w:t xml:space="preserve"> otrzymanych w godzinach 10:55-11:00 każdego dnia roboczego od 10 największych banków w Polsce. Odrzucone zostają dwa najwyższe i dwa najniższe kursy, aby następnie, wyciągając średnią z kursów sprzedaży i kupna, obliczyć kurs średni.</w:t>
      </w:r>
    </w:p>
    <w:p w14:paraId="2B709FDC" w14:textId="3FB5453A" w:rsidR="00230AC3" w:rsidRDefault="00EF2C21" w:rsidP="007F67AB">
      <w:r>
        <w:t xml:space="preserve">Między godziną 11:45, a 12:15 </w:t>
      </w:r>
      <w:r w:rsidRPr="00EF2C21">
        <w:t>w każdy dzień roboczy</w:t>
      </w:r>
      <w:r w:rsidR="00230AC3">
        <w:t xml:space="preserve"> NBP </w:t>
      </w:r>
      <w:r>
        <w:t>publikuje t</w:t>
      </w:r>
      <w:r w:rsidRPr="00EF2C21">
        <w:t>abel</w:t>
      </w:r>
      <w:r>
        <w:t>ę</w:t>
      </w:r>
      <w:r w:rsidRPr="00EF2C21">
        <w:t xml:space="preserve"> A kursów średnich walut obcych</w:t>
      </w:r>
      <w:r>
        <w:t xml:space="preserve">. Zawiera ona informacje o kursie średnim dla 35 najpopularniejszych walut. Dodatkowo w każdą środę, w tych samych godzinach publikowana jest tabela B </w:t>
      </w:r>
      <w:r w:rsidRPr="00EF2C21">
        <w:t>kursów średnich walut obcych</w:t>
      </w:r>
      <w:r>
        <w:t xml:space="preserve"> w której znajdują się informacje o kursach średnich dla 115, bardziej „egzotycznych” walut. </w:t>
      </w:r>
    </w:p>
    <w:p w14:paraId="264B4F18" w14:textId="09718E50" w:rsidR="00346FE6" w:rsidRDefault="00346FE6" w:rsidP="008A10C5">
      <w:r>
        <w:t xml:space="preserve">Łatwy dostęp do danych z rynku walutowego oraz najbardziej aktualnych kursów walut sprawia, że w dzisiejszych czasach kursy średnie prezentowane przez NBP służą głownie do obliczeń statystycznych oraz są pomocne przy wyliczeniach księgowych. </w:t>
      </w:r>
    </w:p>
    <w:p w14:paraId="646D3767" w14:textId="7955B1F1" w:rsidR="00346FE6" w:rsidRDefault="00346FE6" w:rsidP="008A10C5">
      <w:r>
        <w:t>Narodowy Bank Polski udostępnia publiczne Web API umożliwiające wykonywanie zapytań na następujących zbiorach:</w:t>
      </w:r>
    </w:p>
    <w:p w14:paraId="679866DB" w14:textId="10B42BE1" w:rsidR="00346FE6" w:rsidRDefault="00346FE6" w:rsidP="00346FE6">
      <w:pPr>
        <w:pStyle w:val="ListParagraph"/>
        <w:numPr>
          <w:ilvl w:val="0"/>
          <w:numId w:val="14"/>
        </w:numPr>
      </w:pPr>
      <w:r>
        <w:t>Aktualne i archiwalne kursy walut obcych</w:t>
      </w:r>
    </w:p>
    <w:p w14:paraId="6B04227D" w14:textId="2AF2A8FC" w:rsidR="00346FE6" w:rsidRDefault="00346FE6" w:rsidP="00346FE6">
      <w:pPr>
        <w:pStyle w:val="ListParagraph"/>
        <w:numPr>
          <w:ilvl w:val="0"/>
          <w:numId w:val="14"/>
        </w:numPr>
      </w:pPr>
      <w:r>
        <w:t>Aktualne i archiwalne ceny złota</w:t>
      </w:r>
    </w:p>
    <w:p w14:paraId="3A49A40A" w14:textId="078886C5" w:rsidR="00346FE6" w:rsidRDefault="00346FE6" w:rsidP="00346FE6">
      <w:r>
        <w:t>Odpowiedź, zależnie od wymagania, zwracana jest w formacie JSON lub XML (domyślnie – JSON). Pojedyncze zapytanie nie może obejmować więcej niż 93 dni, natomiast dane archiwalne dostępne są dla następujących okresów:</w:t>
      </w:r>
    </w:p>
    <w:p w14:paraId="0734F161" w14:textId="2F7976EE" w:rsidR="00346FE6" w:rsidRDefault="00346FE6" w:rsidP="00346FE6">
      <w:pPr>
        <w:pStyle w:val="ListParagraph"/>
        <w:numPr>
          <w:ilvl w:val="0"/>
          <w:numId w:val="15"/>
        </w:numPr>
      </w:pPr>
      <w:r>
        <w:t>Dla kursów walut – od 2 stycznia 2002 r.</w:t>
      </w:r>
    </w:p>
    <w:p w14:paraId="61D44467" w14:textId="0D1D61D8" w:rsidR="00346FE6" w:rsidRDefault="00346FE6" w:rsidP="00346FE6">
      <w:pPr>
        <w:pStyle w:val="ListParagraph"/>
        <w:numPr>
          <w:ilvl w:val="0"/>
          <w:numId w:val="15"/>
        </w:numPr>
      </w:pPr>
      <w:r>
        <w:t>Dla cen złota – od 2 stycznia 2013 r.</w:t>
      </w:r>
    </w:p>
    <w:p w14:paraId="3B3F595C" w14:textId="21B0E44E" w:rsidR="00346FE6" w:rsidRDefault="0087398C" w:rsidP="0087398C">
      <w:pPr>
        <w:pStyle w:val="Heading3"/>
      </w:pPr>
      <w:bookmarkStart w:id="16" w:name="_Toc62678979"/>
      <w:r>
        <w:t>Inne serwisy walutowe</w:t>
      </w:r>
      <w:bookmarkEnd w:id="16"/>
    </w:p>
    <w:p w14:paraId="1A333AD0" w14:textId="36EA389D" w:rsidR="0087398C" w:rsidRDefault="0087398C" w:rsidP="0087398C">
      <w:r>
        <w:t xml:space="preserve">W Internecie istnieje wiele serwisów oferujących dostęp do danych z rynku </w:t>
      </w:r>
      <w:proofErr w:type="spellStart"/>
      <w:r>
        <w:t>Forex</w:t>
      </w:r>
      <w:proofErr w:type="spellEnd"/>
      <w:r>
        <w:t xml:space="preserve"> w czasie rzeczywistym. Dane, udostępniane poprzez API pozwalają na wykorzystanie ich w komputerowym przetwarzaniu danych oraz, dzięki odpowiedniej analizie, na inwestowanie na rynku walutowym. Przykładowe serwisy udostępniające takie dane to:</w:t>
      </w:r>
    </w:p>
    <w:p w14:paraId="528AA564" w14:textId="6E6C310E" w:rsidR="0087398C" w:rsidRDefault="0087398C" w:rsidP="0087398C">
      <w:pPr>
        <w:pStyle w:val="ListParagraph"/>
        <w:numPr>
          <w:ilvl w:val="0"/>
          <w:numId w:val="16"/>
        </w:numPr>
      </w:pPr>
      <w:r w:rsidRPr="0087398C">
        <w:t>FCS API</w:t>
      </w:r>
    </w:p>
    <w:p w14:paraId="47A2D009" w14:textId="737B76F7" w:rsidR="0087398C" w:rsidRDefault="0087398C" w:rsidP="0087398C">
      <w:pPr>
        <w:pStyle w:val="ListParagraph"/>
        <w:numPr>
          <w:ilvl w:val="0"/>
          <w:numId w:val="16"/>
        </w:numPr>
      </w:pPr>
      <w:proofErr w:type="spellStart"/>
      <w:r w:rsidRPr="0087398C">
        <w:t>AvaTrade</w:t>
      </w:r>
      <w:proofErr w:type="spellEnd"/>
    </w:p>
    <w:p w14:paraId="628FCE3A" w14:textId="69B83587" w:rsidR="0087398C" w:rsidRDefault="0087398C" w:rsidP="0087398C">
      <w:pPr>
        <w:pStyle w:val="ListParagraph"/>
        <w:numPr>
          <w:ilvl w:val="0"/>
          <w:numId w:val="16"/>
        </w:numPr>
      </w:pPr>
      <w:r w:rsidRPr="0087398C">
        <w:t>IG</w:t>
      </w:r>
    </w:p>
    <w:p w14:paraId="5AEA598D" w14:textId="71B00C72" w:rsidR="0087398C" w:rsidRDefault="0087398C" w:rsidP="0087398C">
      <w:pPr>
        <w:pStyle w:val="ListParagraph"/>
        <w:numPr>
          <w:ilvl w:val="0"/>
          <w:numId w:val="16"/>
        </w:numPr>
      </w:pPr>
      <w:r w:rsidRPr="0087398C">
        <w:t>FXCM</w:t>
      </w:r>
    </w:p>
    <w:p w14:paraId="09DA6E40" w14:textId="471A7708" w:rsidR="0087398C" w:rsidRDefault="0087398C" w:rsidP="0087398C">
      <w:pPr>
        <w:pStyle w:val="ListParagraph"/>
        <w:numPr>
          <w:ilvl w:val="0"/>
          <w:numId w:val="16"/>
        </w:numPr>
      </w:pPr>
      <w:r w:rsidRPr="0087398C">
        <w:t>FIXER</w:t>
      </w:r>
    </w:p>
    <w:p w14:paraId="34C3B2B9" w14:textId="77777777" w:rsidR="004F11F7" w:rsidRDefault="0087398C" w:rsidP="0087398C">
      <w:r>
        <w:t>Dostęp do API w takich serwisach jest zazwyczaj darmowy, ale również ograniczony</w:t>
      </w:r>
      <w:r w:rsidR="004F11F7">
        <w:t xml:space="preserve"> (ograniczona dostępna liczba zapytań, ograniczona liczba dni dostępu albo opóźnienie w </w:t>
      </w:r>
      <w:r w:rsidR="004F11F7">
        <w:lastRenderedPageBreak/>
        <w:t xml:space="preserve">danych). Najczęściej za dane w czasie rzeczywistym trzeba zapłacić wykupując odpowiedni abonament. </w:t>
      </w:r>
    </w:p>
    <w:p w14:paraId="7C287B38" w14:textId="3CB77637" w:rsidR="009C44F6" w:rsidRDefault="004F11F7" w:rsidP="00912C20">
      <w:r>
        <w:t>Z uwagi na charakter tej pracy oraz na brak zapotrzebowania na najświeższe dane, zdecydowano się wykorzystać API udostępnione przez NBP z uwagi na jego wiarygodność, wystarczający poziom aktualności danych oraz darmowy dostęp.</w:t>
      </w:r>
    </w:p>
    <w:p w14:paraId="3E15E111" w14:textId="531183F5" w:rsidR="00912C20" w:rsidRDefault="00912C20" w:rsidP="00912C20">
      <w:pPr>
        <w:pStyle w:val="Heading1"/>
      </w:pPr>
      <w:bookmarkStart w:id="17" w:name="_Toc62678980"/>
      <w:r>
        <w:lastRenderedPageBreak/>
        <w:t>Metody analizy danych</w:t>
      </w:r>
      <w:bookmarkEnd w:id="17"/>
    </w:p>
    <w:p w14:paraId="3846C751" w14:textId="0E594891" w:rsidR="00BF725C" w:rsidRPr="00912C20" w:rsidRDefault="00BF725C" w:rsidP="00912C20">
      <w:r>
        <w:t>Tekst</w:t>
      </w:r>
    </w:p>
    <w:p w14:paraId="684F07B0" w14:textId="1AE4B922" w:rsidR="00BF725C" w:rsidRPr="00F45C3D" w:rsidRDefault="00F45C3D" w:rsidP="00BF725C">
      <w:pPr>
        <w:pStyle w:val="Heading2"/>
        <w:rPr>
          <w:lang w:val="de-DE"/>
        </w:rPr>
      </w:pPr>
      <w:bookmarkStart w:id="18" w:name="_Toc62678981"/>
      <w:proofErr w:type="spellStart"/>
      <w:r>
        <w:rPr>
          <w:lang w:val="de-DE"/>
        </w:rPr>
        <w:t>Moduł</w:t>
      </w:r>
      <w:proofErr w:type="spellEnd"/>
      <w:r w:rsidR="00BF725C" w:rsidRPr="00F45C3D">
        <w:rPr>
          <w:lang w:val="de-DE"/>
        </w:rPr>
        <w:t xml:space="preserve"> </w:t>
      </w:r>
      <w:proofErr w:type="spellStart"/>
      <w:r w:rsidR="00BF725C" w:rsidRPr="00F45C3D">
        <w:rPr>
          <w:lang w:val="de-DE"/>
        </w:rPr>
        <w:t>statsmodels</w:t>
      </w:r>
      <w:proofErr w:type="spellEnd"/>
      <w:r w:rsidRPr="00F45C3D">
        <w:rPr>
          <w:lang w:val="de-DE"/>
        </w:rPr>
        <w:t xml:space="preserve"> </w:t>
      </w:r>
      <w:r>
        <w:rPr>
          <w:lang w:val="de-DE"/>
        </w:rPr>
        <w:t xml:space="preserve">- </w:t>
      </w:r>
      <w:proofErr w:type="spellStart"/>
      <w:r w:rsidRPr="00F45C3D">
        <w:rPr>
          <w:lang w:val="de-DE"/>
        </w:rPr>
        <w:t>model</w:t>
      </w:r>
      <w:proofErr w:type="spellEnd"/>
      <w:r w:rsidRPr="00F45C3D">
        <w:rPr>
          <w:lang w:val="de-DE"/>
        </w:rPr>
        <w:t xml:space="preserve"> ARIMA</w:t>
      </w:r>
      <w:bookmarkEnd w:id="18"/>
    </w:p>
    <w:p w14:paraId="1C45C05D" w14:textId="1DE8A203" w:rsidR="00BF725C" w:rsidRDefault="00BF725C" w:rsidP="00BF725C">
      <w:r>
        <w:t xml:space="preserve">Moduł </w:t>
      </w:r>
      <w:proofErr w:type="spellStart"/>
      <w:r>
        <w:t>statsmode</w:t>
      </w:r>
      <w:r w:rsidR="0061253C">
        <w:t>ls</w:t>
      </w:r>
      <w:proofErr w:type="spellEnd"/>
      <w:r w:rsidR="0061253C">
        <w:t xml:space="preserve"> udostępnia klasy i funkcję służące estymacji wielu różnych modeli statystycznych, a także przeprowadzaniu testów statystycznych oraz eksploracji danych statystycznych. Oferuje on szeroką listę parametrów statystycznych dla każdego estymatora. Wyniki obliczeń są porównywane z istniejącymi modelami statystycznymi w celu zapewnienia ich poprawności. Moduł </w:t>
      </w:r>
      <w:proofErr w:type="spellStart"/>
      <w:r w:rsidR="0061253C">
        <w:t>statsmodels</w:t>
      </w:r>
      <w:proofErr w:type="spellEnd"/>
      <w:r w:rsidR="0061253C">
        <w:t xml:space="preserve"> jest udostępniany na licencji open </w:t>
      </w:r>
      <w:proofErr w:type="spellStart"/>
      <w:r w:rsidR="0061253C">
        <w:t>source</w:t>
      </w:r>
      <w:proofErr w:type="spellEnd"/>
      <w:r w:rsidR="0061253C">
        <w:t xml:space="preserve">. </w:t>
      </w:r>
    </w:p>
    <w:p w14:paraId="23BABE2D" w14:textId="77777777" w:rsidR="00FD683E" w:rsidRDefault="00FD683E" w:rsidP="00FD683E">
      <w:pPr>
        <w:keepNext/>
        <w:jc w:val="center"/>
      </w:pPr>
      <w:r>
        <w:rPr>
          <w:noProof/>
        </w:rPr>
        <w:drawing>
          <wp:inline distT="0" distB="0" distL="0" distR="0" wp14:anchorId="78C319FD" wp14:editId="68AC04A1">
            <wp:extent cx="5760085" cy="939800"/>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smodels-logo-v2-horizontal.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5760085" cy="939800"/>
                    </a:xfrm>
                    <a:prstGeom prst="rect">
                      <a:avLst/>
                    </a:prstGeom>
                  </pic:spPr>
                </pic:pic>
              </a:graphicData>
            </a:graphic>
          </wp:inline>
        </w:drawing>
      </w:r>
    </w:p>
    <w:p w14:paraId="009C0404" w14:textId="59425F84" w:rsidR="00FD683E" w:rsidRDefault="00FD683E" w:rsidP="00FD683E">
      <w:pPr>
        <w:pStyle w:val="Caption"/>
      </w:pPr>
      <w:r>
        <w:t xml:space="preserve">Rysunek </w:t>
      </w:r>
      <w:fldSimple w:instr=" SEQ Rysunek \* ARABIC ">
        <w:r w:rsidR="00923B29">
          <w:rPr>
            <w:noProof/>
          </w:rPr>
          <w:t>4</w:t>
        </w:r>
      </w:fldSimple>
      <w:r>
        <w:t xml:space="preserve">. Moduł </w:t>
      </w:r>
      <w:proofErr w:type="spellStart"/>
      <w:r>
        <w:t>statsmodels</w:t>
      </w:r>
      <w:proofErr w:type="spellEnd"/>
      <w:r>
        <w:t xml:space="preserve"> w </w:t>
      </w:r>
      <w:proofErr w:type="spellStart"/>
      <w:r>
        <w:t>Pythonie</w:t>
      </w:r>
      <w:proofErr w:type="spellEnd"/>
    </w:p>
    <w:p w14:paraId="21AC27E3" w14:textId="26060B55" w:rsidR="00FD683E" w:rsidRPr="00FD683E" w:rsidRDefault="00F45C3D" w:rsidP="00FD683E">
      <w:r>
        <w:t xml:space="preserve">Jednym z elementów modułu </w:t>
      </w:r>
      <w:proofErr w:type="spellStart"/>
      <w:r>
        <w:t>statsmodels</w:t>
      </w:r>
      <w:proofErr w:type="spellEnd"/>
      <w:r>
        <w:t xml:space="preserve"> jest a</w:t>
      </w:r>
      <w:r w:rsidRPr="00F45C3D">
        <w:t>utoregresyjny zintegrowany model średniej ruchomej</w:t>
      </w:r>
      <w:r>
        <w:t xml:space="preserve"> - </w:t>
      </w:r>
      <w:r w:rsidR="00FD683E" w:rsidRPr="00FD683E">
        <w:t xml:space="preserve">ARIMA (ang. </w:t>
      </w:r>
      <w:proofErr w:type="spellStart"/>
      <w:r w:rsidR="00FD683E" w:rsidRPr="00FD683E">
        <w:t>Autoregressive</w:t>
      </w:r>
      <w:proofErr w:type="spellEnd"/>
      <w:r w:rsidR="00FD683E" w:rsidRPr="00FD683E">
        <w:t xml:space="preserve"> </w:t>
      </w:r>
      <w:proofErr w:type="spellStart"/>
      <w:r w:rsidR="00FD683E" w:rsidRPr="00FD683E">
        <w:t>Integrated</w:t>
      </w:r>
      <w:proofErr w:type="spellEnd"/>
      <w:r w:rsidR="00FD683E" w:rsidRPr="00FD683E">
        <w:t xml:space="preserve"> </w:t>
      </w:r>
      <w:proofErr w:type="spellStart"/>
      <w:r w:rsidR="00FD683E" w:rsidRPr="00FD683E">
        <w:t>Moving</w:t>
      </w:r>
      <w:proofErr w:type="spellEnd"/>
      <w:r w:rsidR="00FD683E" w:rsidRPr="00FD683E">
        <w:t xml:space="preserve"> </w:t>
      </w:r>
      <w:proofErr w:type="spellStart"/>
      <w:r w:rsidR="00FD683E" w:rsidRPr="00FD683E">
        <w:t>Average</w:t>
      </w:r>
      <w:proofErr w:type="spellEnd"/>
      <w:r w:rsidR="00FD683E" w:rsidRPr="00FD683E">
        <w:t>)</w:t>
      </w:r>
      <w:r>
        <w:t>. Model ten</w:t>
      </w:r>
      <w:r w:rsidR="00FD683E">
        <w:t>, zgodnie z nazwą,</w:t>
      </w:r>
      <w:r w:rsidR="00FD683E" w:rsidRPr="00FD683E">
        <w:t xml:space="preserve"> złożony jest z trzech komponentów:</w:t>
      </w:r>
    </w:p>
    <w:p w14:paraId="3AB7DDC7" w14:textId="5461FE2F" w:rsidR="00FD683E" w:rsidRDefault="00FD683E" w:rsidP="00FD683E">
      <w:pPr>
        <w:pStyle w:val="ListParagraph"/>
        <w:numPr>
          <w:ilvl w:val="0"/>
          <w:numId w:val="17"/>
        </w:numPr>
      </w:pPr>
      <w:r>
        <w:t>Procesu autoregresyjnego</w:t>
      </w:r>
    </w:p>
    <w:p w14:paraId="4E61351A" w14:textId="13E4AB25" w:rsidR="00FD683E" w:rsidRDefault="00FD683E" w:rsidP="00FD683E">
      <w:pPr>
        <w:pStyle w:val="ListParagraph"/>
        <w:numPr>
          <w:ilvl w:val="0"/>
          <w:numId w:val="17"/>
        </w:numPr>
      </w:pPr>
      <w:r>
        <w:t>Procesu średniej ruchomej</w:t>
      </w:r>
    </w:p>
    <w:p w14:paraId="46865573" w14:textId="72A3F1DE" w:rsidR="00FD683E" w:rsidRDefault="00FD683E" w:rsidP="00FD683E">
      <w:pPr>
        <w:pStyle w:val="ListParagraph"/>
        <w:numPr>
          <w:ilvl w:val="0"/>
          <w:numId w:val="17"/>
        </w:numPr>
      </w:pPr>
      <w:r>
        <w:t>Stopnia integracji</w:t>
      </w:r>
    </w:p>
    <w:p w14:paraId="1682D78C" w14:textId="1A8BC1BB" w:rsidR="00FD683E" w:rsidRPr="00160CCB" w:rsidRDefault="00160CCB" w:rsidP="00FD683E">
      <w:r>
        <w:t>TEXT - [OPIS MODELU ARIMA]</w:t>
      </w:r>
      <w:r>
        <w:rPr>
          <w:vertAlign w:val="superscript"/>
        </w:rPr>
        <w:t>[8]</w:t>
      </w:r>
    </w:p>
    <w:p w14:paraId="1CBE1B0D" w14:textId="0614D5B5" w:rsidR="00912C20" w:rsidRDefault="00912C20" w:rsidP="00912C20">
      <w:pPr>
        <w:pStyle w:val="Heading2"/>
      </w:pPr>
      <w:bookmarkStart w:id="19" w:name="_Toc62678982"/>
      <w:r>
        <w:t>Badania</w:t>
      </w:r>
      <w:bookmarkEnd w:id="19"/>
    </w:p>
    <w:p w14:paraId="68574742" w14:textId="7703F53E" w:rsidR="00912C20" w:rsidRPr="00912C20" w:rsidRDefault="00912C20" w:rsidP="00912C20">
      <w:r w:rsidRPr="00912C20">
        <w:t>Tekst</w:t>
      </w:r>
    </w:p>
    <w:p w14:paraId="32D379BD" w14:textId="6DE445E1" w:rsidR="00912C20" w:rsidRDefault="00912C20" w:rsidP="00912C20">
      <w:pPr>
        <w:pStyle w:val="Heading1"/>
      </w:pPr>
      <w:bookmarkStart w:id="20" w:name="_Toc62678983"/>
      <w:r>
        <w:lastRenderedPageBreak/>
        <w:t>Opis systemu</w:t>
      </w:r>
      <w:bookmarkEnd w:id="20"/>
    </w:p>
    <w:p w14:paraId="6959BA67" w14:textId="77C419A1" w:rsidR="00912C20" w:rsidRPr="00912C20" w:rsidRDefault="00912C20" w:rsidP="00912C20">
      <w:r w:rsidRPr="00912C20">
        <w:t>Tekst</w:t>
      </w:r>
    </w:p>
    <w:p w14:paraId="14CA19F2" w14:textId="39183D09" w:rsidR="00912C20" w:rsidRDefault="00912C20" w:rsidP="00912C20">
      <w:pPr>
        <w:pStyle w:val="Heading1"/>
      </w:pPr>
      <w:bookmarkStart w:id="21" w:name="_Toc62678984"/>
      <w:r>
        <w:lastRenderedPageBreak/>
        <w:t>Wyniki</w:t>
      </w:r>
      <w:bookmarkEnd w:id="21"/>
    </w:p>
    <w:p w14:paraId="71EA4C5F" w14:textId="7CA937A0" w:rsidR="00912C20" w:rsidRPr="00912C20" w:rsidRDefault="00912C20" w:rsidP="00912C20">
      <w:r w:rsidRPr="00912C20">
        <w:t>Tekst</w:t>
      </w:r>
    </w:p>
    <w:p w14:paraId="0834DE3A" w14:textId="02C7F69B" w:rsidR="00912C20" w:rsidRDefault="00912C20" w:rsidP="00912C20">
      <w:pPr>
        <w:pStyle w:val="Heading1"/>
      </w:pPr>
      <w:bookmarkStart w:id="22" w:name="_Toc62678985"/>
      <w:r>
        <w:lastRenderedPageBreak/>
        <w:t>Wnioski</w:t>
      </w:r>
      <w:bookmarkEnd w:id="22"/>
    </w:p>
    <w:p w14:paraId="4C4C46FD" w14:textId="255343D4" w:rsidR="00912C20" w:rsidRDefault="00912C20" w:rsidP="00912C20">
      <w:r w:rsidRPr="00912C20">
        <w:t>Tekst</w:t>
      </w:r>
    </w:p>
    <w:p w14:paraId="065DD437" w14:textId="199F5BCC" w:rsidR="006A5E07" w:rsidRDefault="00C805E4" w:rsidP="006A5E07">
      <w:pPr>
        <w:pStyle w:val="Heading1"/>
      </w:pPr>
      <w:bookmarkStart w:id="23" w:name="_Toc62678986"/>
      <w:r>
        <w:lastRenderedPageBreak/>
        <w:t>Bibliografia</w:t>
      </w:r>
      <w:bookmarkEnd w:id="23"/>
    </w:p>
    <w:p w14:paraId="11916167" w14:textId="10F30AE0" w:rsidR="00C805E4" w:rsidRDefault="00B750CB" w:rsidP="00E81931">
      <w:pPr>
        <w:pStyle w:val="ListParagraph"/>
        <w:numPr>
          <w:ilvl w:val="0"/>
          <w:numId w:val="4"/>
        </w:numPr>
      </w:pPr>
      <w:r w:rsidRPr="00B750CB">
        <w:t>Biur</w:t>
      </w:r>
      <w:r>
        <w:t>o</w:t>
      </w:r>
      <w:r w:rsidRPr="00B750CB">
        <w:t xml:space="preserve"> Informacji Kredytowej</w:t>
      </w:r>
      <w:r>
        <w:t xml:space="preserve">, </w:t>
      </w:r>
      <w:r w:rsidR="007460E5" w:rsidRPr="007460E5">
        <w:t>Raport Biura Informacji Kredytowej KREDYT TRENDY</w:t>
      </w:r>
      <w:r w:rsidR="007460E5">
        <w:t xml:space="preserve"> </w:t>
      </w:r>
      <w:r w:rsidR="007460E5" w:rsidRPr="007460E5">
        <w:t>2019</w:t>
      </w:r>
    </w:p>
    <w:p w14:paraId="01902E3E" w14:textId="64FD6D2F" w:rsidR="00B750CB" w:rsidRDefault="00B750CB" w:rsidP="00E81931">
      <w:pPr>
        <w:pStyle w:val="ListParagraph"/>
        <w:numPr>
          <w:ilvl w:val="0"/>
          <w:numId w:val="4"/>
        </w:numPr>
      </w:pPr>
      <w:r>
        <w:t>Kursy średnie NBP – Frank szwajcarski (CHF) [w:] money.pl [on-line]</w:t>
      </w:r>
    </w:p>
    <w:p w14:paraId="695293CA" w14:textId="50D783E8" w:rsidR="00B750CB" w:rsidRDefault="00B750CB" w:rsidP="009B5F1D">
      <w:pPr>
        <w:pStyle w:val="ListParagraph"/>
        <w:numPr>
          <w:ilvl w:val="0"/>
          <w:numId w:val="4"/>
        </w:numPr>
      </w:pPr>
      <w:r w:rsidRPr="00B750CB">
        <w:t>Komisja Nadzoru Finansowego</w:t>
      </w:r>
      <w:r>
        <w:t xml:space="preserve">, Rekomendacja S dotycząca dobrych praktyk w zakresie zarządzania ekspozycjami kredytowymi zabezpieczonymi hipotecznie, </w:t>
      </w:r>
      <w:r w:rsidRPr="00B750CB">
        <w:t>czerwiec 2013</w:t>
      </w:r>
      <w:r>
        <w:t xml:space="preserve"> r.</w:t>
      </w:r>
    </w:p>
    <w:p w14:paraId="5E21C213" w14:textId="77777777" w:rsidR="00667C2B" w:rsidRDefault="00667C2B" w:rsidP="00667C2B">
      <w:pPr>
        <w:pStyle w:val="ListParagraph"/>
        <w:numPr>
          <w:ilvl w:val="0"/>
          <w:numId w:val="4"/>
        </w:numPr>
      </w:pPr>
      <w:r>
        <w:t>Rynek walutowy bez tajemnic [w:] nbportal.pl [on-line]</w:t>
      </w:r>
      <w:r w:rsidRPr="00667C2B">
        <w:t xml:space="preserve"> </w:t>
      </w:r>
    </w:p>
    <w:p w14:paraId="36284960" w14:textId="77D18CD7" w:rsidR="00667C2B" w:rsidRPr="008A10C5" w:rsidRDefault="00667C2B" w:rsidP="00667C2B">
      <w:pPr>
        <w:pStyle w:val="ListParagraph"/>
        <w:numPr>
          <w:ilvl w:val="0"/>
          <w:numId w:val="4"/>
        </w:numPr>
        <w:rPr>
          <w:lang w:val="en-US"/>
        </w:rPr>
      </w:pPr>
      <w:r w:rsidRPr="008A10C5">
        <w:rPr>
          <w:lang w:val="en-US"/>
        </w:rPr>
        <w:t xml:space="preserve">Bank </w:t>
      </w:r>
      <w:proofErr w:type="spellStart"/>
      <w:r w:rsidRPr="008A10C5">
        <w:rPr>
          <w:lang w:val="en-US"/>
        </w:rPr>
        <w:t>Rozrachunków</w:t>
      </w:r>
      <w:proofErr w:type="spellEnd"/>
      <w:r w:rsidRPr="008A10C5">
        <w:rPr>
          <w:lang w:val="en-US"/>
        </w:rPr>
        <w:t xml:space="preserve"> </w:t>
      </w:r>
      <w:proofErr w:type="spellStart"/>
      <w:r w:rsidRPr="008A10C5">
        <w:rPr>
          <w:lang w:val="en-US"/>
        </w:rPr>
        <w:t>Międzynarodowych</w:t>
      </w:r>
      <w:proofErr w:type="spellEnd"/>
      <w:r w:rsidRPr="008A10C5">
        <w:rPr>
          <w:lang w:val="en-US"/>
        </w:rPr>
        <w:t>, Triennial Central Bank Survey – Foreign exchange turnover in April 2019, 16.09.2019</w:t>
      </w:r>
    </w:p>
    <w:p w14:paraId="3D150DF0" w14:textId="12DDD89B" w:rsidR="00667C2B" w:rsidRDefault="003C6675" w:rsidP="00667C2B">
      <w:pPr>
        <w:pStyle w:val="ListParagraph"/>
        <w:numPr>
          <w:ilvl w:val="0"/>
          <w:numId w:val="4"/>
        </w:numPr>
      </w:pPr>
      <w:r w:rsidRPr="003C6675">
        <w:t>Czynniki wpływające na kursy walut</w:t>
      </w:r>
      <w:r>
        <w:t xml:space="preserve"> [w:] </w:t>
      </w:r>
      <w:r w:rsidRPr="003C6675">
        <w:t>inwestycyjnyporadnik.pl</w:t>
      </w:r>
      <w:r>
        <w:t xml:space="preserve"> [on-line]</w:t>
      </w:r>
    </w:p>
    <w:p w14:paraId="63CB7478" w14:textId="28A1F041" w:rsidR="003C6675" w:rsidRDefault="00FD683E" w:rsidP="00667C2B">
      <w:pPr>
        <w:pStyle w:val="ListParagraph"/>
        <w:numPr>
          <w:ilvl w:val="0"/>
          <w:numId w:val="4"/>
        </w:numPr>
        <w:rPr>
          <w:lang w:val="en-US"/>
        </w:rPr>
      </w:pPr>
      <w:r w:rsidRPr="00FD683E">
        <w:rPr>
          <w:lang w:val="en-US"/>
        </w:rPr>
        <w:t>statistical models, hypothesis tests, and data exploration</w:t>
      </w:r>
      <w:r>
        <w:rPr>
          <w:lang w:val="en-US"/>
        </w:rPr>
        <w:t xml:space="preserve"> [w:] </w:t>
      </w:r>
      <w:r w:rsidRPr="00FD683E">
        <w:rPr>
          <w:lang w:val="en-US"/>
        </w:rPr>
        <w:t>statsmodels.org</w:t>
      </w:r>
      <w:r>
        <w:rPr>
          <w:lang w:val="en-US"/>
        </w:rPr>
        <w:t xml:space="preserve"> [on-line]</w:t>
      </w:r>
    </w:p>
    <w:p w14:paraId="678AB039" w14:textId="35F811BE" w:rsidR="00FD683E" w:rsidRDefault="00160CCB" w:rsidP="00667C2B">
      <w:pPr>
        <w:pStyle w:val="ListParagraph"/>
        <w:numPr>
          <w:ilvl w:val="0"/>
          <w:numId w:val="4"/>
        </w:numPr>
      </w:pPr>
      <w:r>
        <w:t xml:space="preserve">Płonka M.: </w:t>
      </w:r>
      <w:r w:rsidRPr="00160CCB">
        <w:t>Co trzeba wiedzieć korzystając z m</w:t>
      </w:r>
      <w:r>
        <w:t xml:space="preserve">odelu ARIMA i które parametry są kluczowe? [w:] </w:t>
      </w:r>
      <w:r w:rsidRPr="00160CCB">
        <w:t>support.predictivesolutions.pl</w:t>
      </w:r>
      <w:r w:rsidRPr="00160CCB">
        <w:t xml:space="preserve"> </w:t>
      </w:r>
      <w:r>
        <w:t xml:space="preserve">[on-line] </w:t>
      </w:r>
    </w:p>
    <w:p w14:paraId="08CD78F9" w14:textId="77777777" w:rsidR="00160CCB" w:rsidRPr="00160CCB" w:rsidRDefault="00160CCB" w:rsidP="00667C2B">
      <w:pPr>
        <w:pStyle w:val="ListParagraph"/>
        <w:numPr>
          <w:ilvl w:val="0"/>
          <w:numId w:val="4"/>
        </w:numPr>
      </w:pPr>
    </w:p>
    <w:p w14:paraId="186EE990" w14:textId="2E40FA9A" w:rsidR="00C805E4" w:rsidRDefault="00C805E4" w:rsidP="00C805E4">
      <w:pPr>
        <w:pStyle w:val="Heading1"/>
      </w:pPr>
      <w:bookmarkStart w:id="24" w:name="_Toc62678987"/>
      <w:r>
        <w:lastRenderedPageBreak/>
        <w:t>Wykaz symboli i skrótów</w:t>
      </w:r>
      <w:bookmarkEnd w:id="24"/>
    </w:p>
    <w:p w14:paraId="0DDAA0FE" w14:textId="771F9364" w:rsidR="00C805E4" w:rsidRDefault="00C805E4" w:rsidP="00C805E4">
      <w:r>
        <w:t>Tekst</w:t>
      </w:r>
    </w:p>
    <w:p w14:paraId="116650A7" w14:textId="3CF73333" w:rsidR="00C805E4" w:rsidRDefault="00C805E4" w:rsidP="00C805E4">
      <w:pPr>
        <w:pStyle w:val="Heading1"/>
      </w:pPr>
      <w:bookmarkStart w:id="25" w:name="_Toc62678988"/>
      <w:r>
        <w:lastRenderedPageBreak/>
        <w:t>Spis rysunków</w:t>
      </w:r>
      <w:bookmarkEnd w:id="25"/>
    </w:p>
    <w:p w14:paraId="1115EA0C" w14:textId="4367DA36"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"Rysunek" </w:instrText>
      </w:r>
      <w:r>
        <w:rPr>
          <w:rFonts w:cstheme="minorBidi"/>
          <w:b/>
          <w:sz w:val="22"/>
          <w:szCs w:val="22"/>
        </w:rPr>
        <w:fldChar w:fldCharType="separate"/>
      </w:r>
      <w:hyperlink w:anchor="_Toc62636618" w:history="1">
        <w:r w:rsidRPr="00935A54">
          <w:rPr>
            <w:rStyle w:val="Hyperlink"/>
            <w:noProof/>
          </w:rPr>
          <w:t>Rysunek 1. Diagram przedstawiający mechanizm działania rynku walutowego</w:t>
        </w:r>
        <w:r>
          <w:rPr>
            <w:noProof/>
            <w:webHidden/>
          </w:rPr>
          <w:tab/>
        </w:r>
        <w:r>
          <w:rPr>
            <w:noProof/>
            <w:webHidden/>
          </w:rPr>
          <w:fldChar w:fldCharType="begin"/>
        </w:r>
        <w:r>
          <w:rPr>
            <w:noProof/>
            <w:webHidden/>
          </w:rPr>
          <w:instrText xml:space="preserve"> PAGEREF _Toc62636618 \h </w:instrText>
        </w:r>
        <w:r>
          <w:rPr>
            <w:noProof/>
            <w:webHidden/>
          </w:rPr>
        </w:r>
        <w:r>
          <w:rPr>
            <w:noProof/>
            <w:webHidden/>
          </w:rPr>
          <w:fldChar w:fldCharType="separate"/>
        </w:r>
        <w:r w:rsidR="00923B29">
          <w:rPr>
            <w:noProof/>
            <w:webHidden/>
          </w:rPr>
          <w:t>15</w:t>
        </w:r>
        <w:r>
          <w:rPr>
            <w:noProof/>
            <w:webHidden/>
          </w:rPr>
          <w:fldChar w:fldCharType="end"/>
        </w:r>
      </w:hyperlink>
    </w:p>
    <w:p w14:paraId="10C07D58" w14:textId="4DAB3DC7" w:rsidR="00922E06" w:rsidRDefault="00B22A5F">
      <w:pPr>
        <w:pStyle w:val="TableofFigures"/>
        <w:tabs>
          <w:tab w:val="right" w:leader="dot" w:pos="9061"/>
        </w:tabs>
        <w:rPr>
          <w:rFonts w:eastAsiaTheme="minorEastAsia" w:cstheme="minorBidi"/>
          <w:smallCaps w:val="0"/>
          <w:noProof/>
          <w:sz w:val="22"/>
          <w:szCs w:val="22"/>
          <w:lang w:val="en-US"/>
        </w:rPr>
      </w:pPr>
      <w:hyperlink w:anchor="_Toc62636619" w:history="1">
        <w:r w:rsidR="00922E06" w:rsidRPr="00935A54">
          <w:rPr>
            <w:rStyle w:val="Hyperlink"/>
            <w:noProof/>
          </w:rPr>
          <w:t>Rysunek 2. Mapa najistotniejszych centrów finansowych rynku walutowego</w:t>
        </w:r>
        <w:r w:rsidR="00922E06">
          <w:rPr>
            <w:noProof/>
            <w:webHidden/>
          </w:rPr>
          <w:tab/>
        </w:r>
        <w:r w:rsidR="00922E06">
          <w:rPr>
            <w:noProof/>
            <w:webHidden/>
          </w:rPr>
          <w:fldChar w:fldCharType="begin"/>
        </w:r>
        <w:r w:rsidR="00922E06">
          <w:rPr>
            <w:noProof/>
            <w:webHidden/>
          </w:rPr>
          <w:instrText xml:space="preserve"> PAGEREF _Toc62636619 \h </w:instrText>
        </w:r>
        <w:r w:rsidR="00922E06">
          <w:rPr>
            <w:noProof/>
            <w:webHidden/>
          </w:rPr>
        </w:r>
        <w:r w:rsidR="00922E06">
          <w:rPr>
            <w:noProof/>
            <w:webHidden/>
          </w:rPr>
          <w:fldChar w:fldCharType="separate"/>
        </w:r>
        <w:r w:rsidR="00923B29">
          <w:rPr>
            <w:noProof/>
            <w:webHidden/>
          </w:rPr>
          <w:t>15</w:t>
        </w:r>
        <w:r w:rsidR="00922E06">
          <w:rPr>
            <w:noProof/>
            <w:webHidden/>
          </w:rPr>
          <w:fldChar w:fldCharType="end"/>
        </w:r>
      </w:hyperlink>
    </w:p>
    <w:p w14:paraId="4395482C" w14:textId="38DE6A4E" w:rsidR="00922E06" w:rsidRDefault="00B22A5F">
      <w:pPr>
        <w:pStyle w:val="TableofFigures"/>
        <w:tabs>
          <w:tab w:val="right" w:leader="dot" w:pos="9061"/>
        </w:tabs>
        <w:rPr>
          <w:rFonts w:eastAsiaTheme="minorEastAsia" w:cstheme="minorBidi"/>
          <w:smallCaps w:val="0"/>
          <w:noProof/>
          <w:sz w:val="22"/>
          <w:szCs w:val="22"/>
          <w:lang w:val="en-US"/>
        </w:rPr>
      </w:pPr>
      <w:hyperlink w:anchor="_Toc62636620" w:history="1">
        <w:r w:rsidR="00922E06" w:rsidRPr="00935A54">
          <w:rPr>
            <w:rStyle w:val="Hyperlink"/>
            <w:noProof/>
          </w:rPr>
          <w:t>Rysunek 3. Czynniki wpływające na kursy walut</w:t>
        </w:r>
        <w:r w:rsidR="00922E06" w:rsidRPr="00935A54">
          <w:rPr>
            <w:rStyle w:val="Hyperlink"/>
            <w:noProof/>
            <w:vertAlign w:val="superscript"/>
          </w:rPr>
          <w:t>[6]</w:t>
        </w:r>
        <w:r w:rsidR="00922E06">
          <w:rPr>
            <w:noProof/>
            <w:webHidden/>
          </w:rPr>
          <w:tab/>
        </w:r>
        <w:r w:rsidR="00922E06">
          <w:rPr>
            <w:noProof/>
            <w:webHidden/>
          </w:rPr>
          <w:fldChar w:fldCharType="begin"/>
        </w:r>
        <w:r w:rsidR="00922E06">
          <w:rPr>
            <w:noProof/>
            <w:webHidden/>
          </w:rPr>
          <w:instrText xml:space="preserve"> PAGEREF _Toc62636620 \h </w:instrText>
        </w:r>
        <w:r w:rsidR="00922E06">
          <w:rPr>
            <w:noProof/>
            <w:webHidden/>
          </w:rPr>
        </w:r>
        <w:r w:rsidR="00922E06">
          <w:rPr>
            <w:noProof/>
            <w:webHidden/>
          </w:rPr>
          <w:fldChar w:fldCharType="separate"/>
        </w:r>
        <w:r w:rsidR="00923B29">
          <w:rPr>
            <w:noProof/>
            <w:webHidden/>
          </w:rPr>
          <w:t>18</w:t>
        </w:r>
        <w:r w:rsidR="00922E06">
          <w:rPr>
            <w:noProof/>
            <w:webHidden/>
          </w:rPr>
          <w:fldChar w:fldCharType="end"/>
        </w:r>
      </w:hyperlink>
    </w:p>
    <w:p w14:paraId="607DD734" w14:textId="50FEAA75" w:rsidR="00C805E4" w:rsidRDefault="00922E06" w:rsidP="00C805E4">
      <w:pPr>
        <w:pStyle w:val="Heading1"/>
      </w:pPr>
      <w:r>
        <w:rPr>
          <w:rFonts w:eastAsiaTheme="minorHAnsi" w:cstheme="minorBidi"/>
          <w:b w:val="0"/>
          <w:sz w:val="22"/>
          <w:szCs w:val="22"/>
        </w:rPr>
        <w:lastRenderedPageBreak/>
        <w:fldChar w:fldCharType="end"/>
      </w:r>
      <w:bookmarkStart w:id="26" w:name="_Toc62678989"/>
      <w:r w:rsidR="00C805E4">
        <w:t>Spis tabel</w:t>
      </w:r>
      <w:bookmarkEnd w:id="26"/>
    </w:p>
    <w:p w14:paraId="0E764B2C" w14:textId="5DEEF157"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"Tabela" </w:instrText>
      </w:r>
      <w:r>
        <w:rPr>
          <w:rFonts w:cstheme="minorBidi"/>
          <w:b/>
          <w:sz w:val="22"/>
          <w:szCs w:val="22"/>
        </w:rPr>
        <w:fldChar w:fldCharType="separate"/>
      </w:r>
      <w:hyperlink w:anchor="_Toc62636476" w:history="1">
        <w:r w:rsidRPr="00D32CB3">
          <w:rPr>
            <w:rStyle w:val="Hyperlink"/>
            <w:noProof/>
          </w:rPr>
          <w:t>Tabela 1. Rozkład walut obrotu walutowego na FOREX</w:t>
        </w:r>
        <w:r w:rsidRPr="00D32CB3">
          <w:rPr>
            <w:rStyle w:val="Hyperlink"/>
            <w:noProof/>
            <w:vertAlign w:val="superscript"/>
          </w:rPr>
          <w:t>[5]</w:t>
        </w:r>
        <w:r>
          <w:rPr>
            <w:noProof/>
            <w:webHidden/>
          </w:rPr>
          <w:tab/>
        </w:r>
        <w:r>
          <w:rPr>
            <w:noProof/>
            <w:webHidden/>
          </w:rPr>
          <w:fldChar w:fldCharType="begin"/>
        </w:r>
        <w:r>
          <w:rPr>
            <w:noProof/>
            <w:webHidden/>
          </w:rPr>
          <w:instrText xml:space="preserve"> PAGEREF _Toc62636476 \h </w:instrText>
        </w:r>
        <w:r>
          <w:rPr>
            <w:noProof/>
            <w:webHidden/>
          </w:rPr>
        </w:r>
        <w:r>
          <w:rPr>
            <w:noProof/>
            <w:webHidden/>
          </w:rPr>
          <w:fldChar w:fldCharType="separate"/>
        </w:r>
        <w:r w:rsidR="00923B29">
          <w:rPr>
            <w:noProof/>
            <w:webHidden/>
          </w:rPr>
          <w:t>16</w:t>
        </w:r>
        <w:r>
          <w:rPr>
            <w:noProof/>
            <w:webHidden/>
          </w:rPr>
          <w:fldChar w:fldCharType="end"/>
        </w:r>
      </w:hyperlink>
    </w:p>
    <w:p w14:paraId="6B2E90AD" w14:textId="42A8981F" w:rsidR="00922E06" w:rsidRDefault="00B22A5F">
      <w:pPr>
        <w:pStyle w:val="TableofFigures"/>
        <w:tabs>
          <w:tab w:val="right" w:leader="dot" w:pos="9061"/>
        </w:tabs>
        <w:rPr>
          <w:rFonts w:eastAsiaTheme="minorEastAsia" w:cstheme="minorBidi"/>
          <w:smallCaps w:val="0"/>
          <w:noProof/>
          <w:sz w:val="22"/>
          <w:szCs w:val="22"/>
          <w:lang w:val="en-US"/>
        </w:rPr>
      </w:pPr>
      <w:hyperlink w:anchor="_Toc62636477" w:history="1">
        <w:r w:rsidR="00922E06" w:rsidRPr="00D32CB3">
          <w:rPr>
            <w:rStyle w:val="Hyperlink"/>
            <w:noProof/>
          </w:rPr>
          <w:t>Tabela 2. Średnie dzienne obrotu na rynku FOREX</w:t>
        </w:r>
        <w:r w:rsidR="00922E06" w:rsidRPr="00D32CB3">
          <w:rPr>
            <w:rStyle w:val="Hyperlink"/>
            <w:noProof/>
            <w:vertAlign w:val="superscript"/>
          </w:rPr>
          <w:t>[5]</w:t>
        </w:r>
        <w:r w:rsidR="00922E06">
          <w:rPr>
            <w:noProof/>
            <w:webHidden/>
          </w:rPr>
          <w:tab/>
        </w:r>
        <w:r w:rsidR="00922E06">
          <w:rPr>
            <w:noProof/>
            <w:webHidden/>
          </w:rPr>
          <w:fldChar w:fldCharType="begin"/>
        </w:r>
        <w:r w:rsidR="00922E06">
          <w:rPr>
            <w:noProof/>
            <w:webHidden/>
          </w:rPr>
          <w:instrText xml:space="preserve"> PAGEREF _Toc62636477 \h </w:instrText>
        </w:r>
        <w:r w:rsidR="00922E06">
          <w:rPr>
            <w:noProof/>
            <w:webHidden/>
          </w:rPr>
        </w:r>
        <w:r w:rsidR="00922E06">
          <w:rPr>
            <w:noProof/>
            <w:webHidden/>
          </w:rPr>
          <w:fldChar w:fldCharType="separate"/>
        </w:r>
        <w:r w:rsidR="00923B29">
          <w:rPr>
            <w:noProof/>
            <w:webHidden/>
          </w:rPr>
          <w:t>17</w:t>
        </w:r>
        <w:r w:rsidR="00922E06">
          <w:rPr>
            <w:noProof/>
            <w:webHidden/>
          </w:rPr>
          <w:fldChar w:fldCharType="end"/>
        </w:r>
      </w:hyperlink>
    </w:p>
    <w:p w14:paraId="70E8F1D2" w14:textId="747137CD" w:rsidR="00C805E4" w:rsidRDefault="00922E06" w:rsidP="00C805E4">
      <w:pPr>
        <w:pStyle w:val="Heading1"/>
      </w:pPr>
      <w:r>
        <w:rPr>
          <w:rFonts w:eastAsiaTheme="minorHAnsi" w:cstheme="minorBidi"/>
          <w:b w:val="0"/>
          <w:sz w:val="22"/>
          <w:szCs w:val="22"/>
        </w:rPr>
        <w:lastRenderedPageBreak/>
        <w:fldChar w:fldCharType="end"/>
      </w:r>
      <w:bookmarkStart w:id="27" w:name="_Toc62678990"/>
      <w:r w:rsidR="00C805E4">
        <w:t>Spis załączników</w:t>
      </w:r>
      <w:bookmarkEnd w:id="27"/>
    </w:p>
    <w:p w14:paraId="15B23B53" w14:textId="16AF6F46" w:rsidR="00C805E4" w:rsidRDefault="00C805E4" w:rsidP="00C805E4">
      <w:r>
        <w:t>Tekst</w:t>
      </w:r>
    </w:p>
    <w:p w14:paraId="634C9C7B" w14:textId="77777777" w:rsidR="00C805E4" w:rsidRPr="00C805E4" w:rsidRDefault="00C805E4" w:rsidP="00C805E4"/>
    <w:p w14:paraId="642CB0F7" w14:textId="5954BC1C" w:rsidR="00E023B6" w:rsidRDefault="00E023B6" w:rsidP="00912C20"/>
    <w:p w14:paraId="22C167D3" w14:textId="77777777" w:rsidR="00E023B6" w:rsidRPr="00912C20" w:rsidRDefault="00E023B6" w:rsidP="00912C20"/>
    <w:sectPr w:rsidR="00E023B6" w:rsidRPr="00912C20" w:rsidSect="00953AAF">
      <w:footerReference w:type="even" r:id="rId36"/>
      <w:footerReference w:type="default" r:id="rId37"/>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6F405" w14:textId="77777777" w:rsidR="00B22A5F" w:rsidRDefault="00B22A5F" w:rsidP="00B15C4B">
      <w:pPr>
        <w:spacing w:line="240" w:lineRule="auto"/>
      </w:pPr>
      <w:r>
        <w:separator/>
      </w:r>
    </w:p>
  </w:endnote>
  <w:endnote w:type="continuationSeparator" w:id="0">
    <w:p w14:paraId="1FBA25D8" w14:textId="77777777" w:rsidR="00B22A5F" w:rsidRDefault="00B22A5F" w:rsidP="00B15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113928"/>
      <w:docPartObj>
        <w:docPartGallery w:val="Page Numbers (Bottom of Page)"/>
        <w:docPartUnique/>
      </w:docPartObj>
    </w:sdtPr>
    <w:sdtEndPr/>
    <w:sdtContent>
      <w:p w14:paraId="18384AB5" w14:textId="2AF2A743" w:rsidR="009B5F1D" w:rsidRDefault="009B5F1D">
        <w:pPr>
          <w:pStyle w:val="Footer"/>
        </w:pPr>
        <w:r>
          <w:fldChar w:fldCharType="begin"/>
        </w:r>
        <w:r>
          <w:instrText>PAGE   \* MERGEFORMAT</w:instrText>
        </w:r>
        <w:r>
          <w:fldChar w:fldCharType="separate"/>
        </w:r>
        <w:r>
          <w:t>2</w:t>
        </w:r>
        <w:r>
          <w:fldChar w:fldCharType="end"/>
        </w:r>
      </w:p>
    </w:sdtContent>
  </w:sdt>
  <w:p w14:paraId="7909BFE3" w14:textId="77777777" w:rsidR="009B5F1D" w:rsidRDefault="009B5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833546"/>
      <w:docPartObj>
        <w:docPartGallery w:val="Page Numbers (Bottom of Page)"/>
        <w:docPartUnique/>
      </w:docPartObj>
    </w:sdtPr>
    <w:sdtEndPr/>
    <w:sdtContent>
      <w:p w14:paraId="7EFB82FB" w14:textId="533B68EB" w:rsidR="009B5F1D" w:rsidRDefault="009B5F1D">
        <w:pPr>
          <w:pStyle w:val="Footer"/>
          <w:jc w:val="right"/>
        </w:pPr>
        <w:r>
          <w:fldChar w:fldCharType="begin"/>
        </w:r>
        <w:r>
          <w:instrText>PAGE   \* MERGEFORMAT</w:instrText>
        </w:r>
        <w:r>
          <w:fldChar w:fldCharType="separate"/>
        </w:r>
        <w:r>
          <w:t>2</w:t>
        </w:r>
        <w:r>
          <w:fldChar w:fldCharType="end"/>
        </w:r>
      </w:p>
    </w:sdtContent>
  </w:sdt>
  <w:p w14:paraId="314EDEF0" w14:textId="77777777" w:rsidR="009B5F1D" w:rsidRDefault="009B5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97DBD" w14:textId="77777777" w:rsidR="00B22A5F" w:rsidRDefault="00B22A5F" w:rsidP="00B15C4B">
      <w:pPr>
        <w:spacing w:line="240" w:lineRule="auto"/>
      </w:pPr>
      <w:r>
        <w:separator/>
      </w:r>
    </w:p>
  </w:footnote>
  <w:footnote w:type="continuationSeparator" w:id="0">
    <w:p w14:paraId="4F97D78B" w14:textId="77777777" w:rsidR="00B22A5F" w:rsidRDefault="00B22A5F" w:rsidP="00B15C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4B6A"/>
    <w:multiLevelType w:val="hybridMultilevel"/>
    <w:tmpl w:val="D4C28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0C611C"/>
    <w:multiLevelType w:val="hybridMultilevel"/>
    <w:tmpl w:val="8E4225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1C09E0"/>
    <w:multiLevelType w:val="hybridMultilevel"/>
    <w:tmpl w:val="2FC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DF7"/>
    <w:multiLevelType w:val="hybridMultilevel"/>
    <w:tmpl w:val="F39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E2B97"/>
    <w:multiLevelType w:val="hybridMultilevel"/>
    <w:tmpl w:val="15468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936476"/>
    <w:multiLevelType w:val="hybridMultilevel"/>
    <w:tmpl w:val="A19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75ED8"/>
    <w:multiLevelType w:val="hybridMultilevel"/>
    <w:tmpl w:val="B4D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06A3"/>
    <w:multiLevelType w:val="hybridMultilevel"/>
    <w:tmpl w:val="87CAC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AC57B8"/>
    <w:multiLevelType w:val="hybridMultilevel"/>
    <w:tmpl w:val="E684D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AC30B80"/>
    <w:multiLevelType w:val="hybridMultilevel"/>
    <w:tmpl w:val="9AF6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D20B3"/>
    <w:multiLevelType w:val="hybridMultilevel"/>
    <w:tmpl w:val="6CA2E84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3431706"/>
    <w:multiLevelType w:val="hybridMultilevel"/>
    <w:tmpl w:val="114E5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B8A286F"/>
    <w:multiLevelType w:val="hybridMultilevel"/>
    <w:tmpl w:val="B4D4C6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89937C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CAE3804"/>
    <w:multiLevelType w:val="hybridMultilevel"/>
    <w:tmpl w:val="76C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44807"/>
    <w:multiLevelType w:val="hybridMultilevel"/>
    <w:tmpl w:val="D6E49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E7471EA"/>
    <w:multiLevelType w:val="hybridMultilevel"/>
    <w:tmpl w:val="C994B1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0"/>
  </w:num>
  <w:num w:numId="5">
    <w:abstractNumId w:val="4"/>
  </w:num>
  <w:num w:numId="6">
    <w:abstractNumId w:val="16"/>
  </w:num>
  <w:num w:numId="7">
    <w:abstractNumId w:val="0"/>
  </w:num>
  <w:num w:numId="8">
    <w:abstractNumId w:val="1"/>
  </w:num>
  <w:num w:numId="9">
    <w:abstractNumId w:val="15"/>
  </w:num>
  <w:num w:numId="10">
    <w:abstractNumId w:val="8"/>
  </w:num>
  <w:num w:numId="11">
    <w:abstractNumId w:val="11"/>
  </w:num>
  <w:num w:numId="12">
    <w:abstractNumId w:val="5"/>
  </w:num>
  <w:num w:numId="13">
    <w:abstractNumId w:val="3"/>
  </w:num>
  <w:num w:numId="14">
    <w:abstractNumId w:val="14"/>
  </w:num>
  <w:num w:numId="15">
    <w:abstractNumId w:val="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B6"/>
    <w:rsid w:val="00013E59"/>
    <w:rsid w:val="00075D34"/>
    <w:rsid w:val="000B06B6"/>
    <w:rsid w:val="000E0ED1"/>
    <w:rsid w:val="00113D30"/>
    <w:rsid w:val="00160CCB"/>
    <w:rsid w:val="001817F1"/>
    <w:rsid w:val="001823D5"/>
    <w:rsid w:val="001A10F0"/>
    <w:rsid w:val="00230AC3"/>
    <w:rsid w:val="00290405"/>
    <w:rsid w:val="002B7C21"/>
    <w:rsid w:val="002E7AFD"/>
    <w:rsid w:val="00332D47"/>
    <w:rsid w:val="00346FE6"/>
    <w:rsid w:val="003A1CD6"/>
    <w:rsid w:val="003C6675"/>
    <w:rsid w:val="00471C44"/>
    <w:rsid w:val="004F11F7"/>
    <w:rsid w:val="004F6622"/>
    <w:rsid w:val="00570B32"/>
    <w:rsid w:val="00586C34"/>
    <w:rsid w:val="00593B3D"/>
    <w:rsid w:val="00593E28"/>
    <w:rsid w:val="0061253C"/>
    <w:rsid w:val="00663143"/>
    <w:rsid w:val="00667C2B"/>
    <w:rsid w:val="006A5E07"/>
    <w:rsid w:val="00711FB8"/>
    <w:rsid w:val="00723D7B"/>
    <w:rsid w:val="007460E5"/>
    <w:rsid w:val="0076689F"/>
    <w:rsid w:val="007F67AB"/>
    <w:rsid w:val="008068F1"/>
    <w:rsid w:val="00814148"/>
    <w:rsid w:val="0087398C"/>
    <w:rsid w:val="008913DB"/>
    <w:rsid w:val="008A10C5"/>
    <w:rsid w:val="008F46D2"/>
    <w:rsid w:val="00912C20"/>
    <w:rsid w:val="00922E06"/>
    <w:rsid w:val="00923B29"/>
    <w:rsid w:val="0095113A"/>
    <w:rsid w:val="00953AAF"/>
    <w:rsid w:val="00983827"/>
    <w:rsid w:val="00996AD7"/>
    <w:rsid w:val="009B5F1D"/>
    <w:rsid w:val="009C44F6"/>
    <w:rsid w:val="009C5B58"/>
    <w:rsid w:val="00A106B2"/>
    <w:rsid w:val="00A36A53"/>
    <w:rsid w:val="00A804B4"/>
    <w:rsid w:val="00AF33D8"/>
    <w:rsid w:val="00B07AF5"/>
    <w:rsid w:val="00B15C4B"/>
    <w:rsid w:val="00B22A5F"/>
    <w:rsid w:val="00B64702"/>
    <w:rsid w:val="00B750CB"/>
    <w:rsid w:val="00B97CF6"/>
    <w:rsid w:val="00BA451A"/>
    <w:rsid w:val="00BA4D94"/>
    <w:rsid w:val="00BC493B"/>
    <w:rsid w:val="00BD052A"/>
    <w:rsid w:val="00BD5BAB"/>
    <w:rsid w:val="00BF725C"/>
    <w:rsid w:val="00C721BF"/>
    <w:rsid w:val="00C76773"/>
    <w:rsid w:val="00C805E4"/>
    <w:rsid w:val="00CF4B13"/>
    <w:rsid w:val="00D22228"/>
    <w:rsid w:val="00D2593D"/>
    <w:rsid w:val="00D30AFE"/>
    <w:rsid w:val="00E023B6"/>
    <w:rsid w:val="00E34964"/>
    <w:rsid w:val="00E54F2C"/>
    <w:rsid w:val="00E81931"/>
    <w:rsid w:val="00ED2F79"/>
    <w:rsid w:val="00EF0E5B"/>
    <w:rsid w:val="00EF2C21"/>
    <w:rsid w:val="00F45C3D"/>
    <w:rsid w:val="00F635A3"/>
    <w:rsid w:val="00F82F08"/>
    <w:rsid w:val="00FB65EA"/>
    <w:rsid w:val="00FC0A56"/>
    <w:rsid w:val="00FC1405"/>
    <w:rsid w:val="00FD68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57CF"/>
  <w15:chartTrackingRefBased/>
  <w15:docId w15:val="{F73BCF7D-BC64-4AEA-9A3E-3E092F71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31"/>
    <w:pPr>
      <w:spacing w:before="80" w:after="0" w:line="276" w:lineRule="auto"/>
      <w:jc w:val="both"/>
    </w:pPr>
    <w:rPr>
      <w:rFonts w:ascii="Arial" w:hAnsi="Arial"/>
    </w:rPr>
  </w:style>
  <w:style w:type="paragraph" w:styleId="Heading1">
    <w:name w:val="heading 1"/>
    <w:basedOn w:val="Normal"/>
    <w:next w:val="Normal"/>
    <w:link w:val="Heading1Char"/>
    <w:uiPriority w:val="9"/>
    <w:qFormat/>
    <w:rsid w:val="00B750CB"/>
    <w:pPr>
      <w:keepNext/>
      <w:keepLines/>
      <w:pageBreakBefore/>
      <w:numPr>
        <w:numId w:val="1"/>
      </w:numPr>
      <w:spacing w:before="240"/>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93B3D"/>
    <w:pPr>
      <w:keepNext/>
      <w:keepLines/>
      <w:numPr>
        <w:ilvl w:val="1"/>
        <w:numId w:val="1"/>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93B3D"/>
    <w:pPr>
      <w:keepNext/>
      <w:keepLines/>
      <w:numPr>
        <w:ilvl w:val="2"/>
        <w:numId w:val="1"/>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E81931"/>
    <w:pPr>
      <w:keepNext/>
      <w:keepLines/>
      <w:numPr>
        <w:ilvl w:val="3"/>
        <w:numId w:val="1"/>
      </w:numPr>
      <w:spacing w:before="40"/>
      <w:outlineLvl w:val="3"/>
    </w:pPr>
    <w:rPr>
      <w:rFonts w:eastAsiaTheme="majorEastAsia" w:cstheme="majorBidi"/>
      <w:i/>
      <w:iCs/>
      <w:color w:val="4472C4" w:themeColor="accent1"/>
    </w:rPr>
  </w:style>
  <w:style w:type="paragraph" w:styleId="Heading5">
    <w:name w:val="heading 5"/>
    <w:basedOn w:val="Normal"/>
    <w:next w:val="Normal"/>
    <w:link w:val="Heading5Char"/>
    <w:uiPriority w:val="9"/>
    <w:semiHidden/>
    <w:unhideWhenUsed/>
    <w:qFormat/>
    <w:rsid w:val="00912C2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2C2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2C2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2C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2C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CB"/>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593B3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93B3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81931"/>
    <w:rPr>
      <w:rFonts w:ascii="Arial" w:eastAsiaTheme="majorEastAsia" w:hAnsi="Arial" w:cstheme="majorBidi"/>
      <w:i/>
      <w:iCs/>
      <w:color w:val="4472C4" w:themeColor="accent1"/>
    </w:rPr>
  </w:style>
  <w:style w:type="character" w:customStyle="1" w:styleId="Heading5Char">
    <w:name w:val="Heading 5 Char"/>
    <w:basedOn w:val="DefaultParagraphFont"/>
    <w:link w:val="Heading5"/>
    <w:uiPriority w:val="9"/>
    <w:semiHidden/>
    <w:rsid w:val="00912C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2C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2C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2C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2C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12C20"/>
    <w:pPr>
      <w:numPr>
        <w:numId w:val="0"/>
      </w:numPr>
      <w:outlineLvl w:val="9"/>
    </w:pPr>
    <w:rPr>
      <w:lang w:eastAsia="pl-PL"/>
    </w:rPr>
  </w:style>
  <w:style w:type="paragraph" w:styleId="TOC1">
    <w:name w:val="toc 1"/>
    <w:basedOn w:val="Normal"/>
    <w:next w:val="Normal"/>
    <w:autoRedefine/>
    <w:uiPriority w:val="39"/>
    <w:unhideWhenUsed/>
    <w:rsid w:val="00B750CB"/>
    <w:pPr>
      <w:tabs>
        <w:tab w:val="left" w:pos="440"/>
        <w:tab w:val="right" w:leader="dot" w:pos="9061"/>
      </w:tabs>
      <w:spacing w:after="100"/>
    </w:pPr>
  </w:style>
  <w:style w:type="paragraph" w:styleId="TOC2">
    <w:name w:val="toc 2"/>
    <w:basedOn w:val="Normal"/>
    <w:next w:val="Normal"/>
    <w:autoRedefine/>
    <w:uiPriority w:val="39"/>
    <w:unhideWhenUsed/>
    <w:rsid w:val="00912C20"/>
    <w:pPr>
      <w:spacing w:after="100"/>
      <w:ind w:left="220"/>
    </w:pPr>
  </w:style>
  <w:style w:type="character" w:styleId="Hyperlink">
    <w:name w:val="Hyperlink"/>
    <w:basedOn w:val="DefaultParagraphFont"/>
    <w:uiPriority w:val="99"/>
    <w:unhideWhenUsed/>
    <w:rsid w:val="00912C20"/>
    <w:rPr>
      <w:color w:val="0563C1" w:themeColor="hyperlink"/>
      <w:u w:val="single"/>
    </w:rPr>
  </w:style>
  <w:style w:type="paragraph" w:styleId="ListParagraph">
    <w:name w:val="List Paragraph"/>
    <w:basedOn w:val="Normal"/>
    <w:uiPriority w:val="34"/>
    <w:qFormat/>
    <w:rsid w:val="00D30AFE"/>
    <w:pPr>
      <w:ind w:left="720"/>
      <w:contextualSpacing/>
    </w:pPr>
  </w:style>
  <w:style w:type="paragraph" w:styleId="FootnoteText">
    <w:name w:val="footnote text"/>
    <w:basedOn w:val="Normal"/>
    <w:link w:val="FootnoteTextChar"/>
    <w:uiPriority w:val="99"/>
    <w:semiHidden/>
    <w:unhideWhenUsed/>
    <w:rsid w:val="00B15C4B"/>
    <w:pPr>
      <w:spacing w:line="240" w:lineRule="auto"/>
    </w:pPr>
    <w:rPr>
      <w:sz w:val="20"/>
      <w:szCs w:val="20"/>
    </w:rPr>
  </w:style>
  <w:style w:type="character" w:customStyle="1" w:styleId="FootnoteTextChar">
    <w:name w:val="Footnote Text Char"/>
    <w:basedOn w:val="DefaultParagraphFont"/>
    <w:link w:val="FootnoteText"/>
    <w:uiPriority w:val="99"/>
    <w:semiHidden/>
    <w:rsid w:val="00B15C4B"/>
    <w:rPr>
      <w:sz w:val="20"/>
      <w:szCs w:val="20"/>
    </w:rPr>
  </w:style>
  <w:style w:type="character" w:styleId="FootnoteReference">
    <w:name w:val="footnote reference"/>
    <w:basedOn w:val="DefaultParagraphFont"/>
    <w:uiPriority w:val="99"/>
    <w:semiHidden/>
    <w:unhideWhenUsed/>
    <w:rsid w:val="00B15C4B"/>
    <w:rPr>
      <w:vertAlign w:val="superscript"/>
    </w:rPr>
  </w:style>
  <w:style w:type="paragraph" w:styleId="Caption">
    <w:name w:val="caption"/>
    <w:basedOn w:val="Normal"/>
    <w:next w:val="Normal"/>
    <w:uiPriority w:val="35"/>
    <w:unhideWhenUsed/>
    <w:qFormat/>
    <w:rsid w:val="00C721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23B6"/>
    <w:pPr>
      <w:spacing w:before="0"/>
      <w:ind w:left="440" w:hanging="440"/>
      <w:jc w:val="left"/>
    </w:pPr>
    <w:rPr>
      <w:rFonts w:asciiTheme="minorHAnsi" w:hAnsiTheme="minorHAnsi" w:cstheme="minorHAnsi"/>
      <w:smallCaps/>
      <w:sz w:val="20"/>
      <w:szCs w:val="20"/>
    </w:rPr>
  </w:style>
  <w:style w:type="paragraph" w:styleId="Header">
    <w:name w:val="header"/>
    <w:basedOn w:val="Normal"/>
    <w:link w:val="HeaderChar"/>
    <w:uiPriority w:val="99"/>
    <w:unhideWhenUsed/>
    <w:rsid w:val="00953AAF"/>
    <w:pPr>
      <w:tabs>
        <w:tab w:val="center" w:pos="4536"/>
        <w:tab w:val="right" w:pos="9072"/>
      </w:tabs>
      <w:spacing w:line="240" w:lineRule="auto"/>
    </w:pPr>
  </w:style>
  <w:style w:type="character" w:customStyle="1" w:styleId="HeaderChar">
    <w:name w:val="Header Char"/>
    <w:basedOn w:val="DefaultParagraphFont"/>
    <w:link w:val="Header"/>
    <w:uiPriority w:val="99"/>
    <w:rsid w:val="00953AAF"/>
    <w:rPr>
      <w:rFonts w:ascii="Arial" w:hAnsi="Arial"/>
    </w:rPr>
  </w:style>
  <w:style w:type="paragraph" w:styleId="Footer">
    <w:name w:val="footer"/>
    <w:basedOn w:val="Normal"/>
    <w:link w:val="FooterChar"/>
    <w:uiPriority w:val="99"/>
    <w:unhideWhenUsed/>
    <w:rsid w:val="00953AAF"/>
    <w:pPr>
      <w:tabs>
        <w:tab w:val="center" w:pos="4536"/>
        <w:tab w:val="right" w:pos="9072"/>
      </w:tabs>
      <w:spacing w:line="240" w:lineRule="auto"/>
    </w:pPr>
  </w:style>
  <w:style w:type="character" w:customStyle="1" w:styleId="FooterChar">
    <w:name w:val="Footer Char"/>
    <w:basedOn w:val="DefaultParagraphFont"/>
    <w:link w:val="Footer"/>
    <w:uiPriority w:val="99"/>
    <w:rsid w:val="00953AAF"/>
    <w:rPr>
      <w:rFonts w:ascii="Arial" w:hAnsi="Arial"/>
    </w:rPr>
  </w:style>
  <w:style w:type="paragraph" w:styleId="EndnoteText">
    <w:name w:val="endnote text"/>
    <w:basedOn w:val="Normal"/>
    <w:link w:val="EndnoteTextChar"/>
    <w:uiPriority w:val="99"/>
    <w:semiHidden/>
    <w:unhideWhenUsed/>
    <w:rsid w:val="00E8193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1931"/>
    <w:rPr>
      <w:rFonts w:ascii="Arial" w:hAnsi="Arial"/>
      <w:sz w:val="20"/>
      <w:szCs w:val="20"/>
    </w:rPr>
  </w:style>
  <w:style w:type="character" w:styleId="EndnoteReference">
    <w:name w:val="endnote reference"/>
    <w:basedOn w:val="DefaultParagraphFont"/>
    <w:uiPriority w:val="99"/>
    <w:semiHidden/>
    <w:unhideWhenUsed/>
    <w:rsid w:val="00E81931"/>
    <w:rPr>
      <w:vertAlign w:val="superscript"/>
    </w:rPr>
  </w:style>
  <w:style w:type="paragraph" w:styleId="BalloonText">
    <w:name w:val="Balloon Text"/>
    <w:basedOn w:val="Normal"/>
    <w:link w:val="BalloonTextChar"/>
    <w:uiPriority w:val="99"/>
    <w:semiHidden/>
    <w:unhideWhenUsed/>
    <w:rsid w:val="00F635A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A3"/>
    <w:rPr>
      <w:rFonts w:ascii="Segoe UI" w:hAnsi="Segoe UI" w:cs="Segoe UI"/>
      <w:sz w:val="18"/>
      <w:szCs w:val="18"/>
    </w:rPr>
  </w:style>
  <w:style w:type="paragraph" w:styleId="TOC3">
    <w:name w:val="toc 3"/>
    <w:basedOn w:val="Normal"/>
    <w:next w:val="Normal"/>
    <w:autoRedefine/>
    <w:uiPriority w:val="39"/>
    <w:unhideWhenUsed/>
    <w:rsid w:val="00E349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27">
      <w:bodyDiv w:val="1"/>
      <w:marLeft w:val="0"/>
      <w:marRight w:val="0"/>
      <w:marTop w:val="0"/>
      <w:marBottom w:val="0"/>
      <w:divBdr>
        <w:top w:val="none" w:sz="0" w:space="0" w:color="auto"/>
        <w:left w:val="none" w:sz="0" w:space="0" w:color="auto"/>
        <w:bottom w:val="none" w:sz="0" w:space="0" w:color="auto"/>
        <w:right w:val="none" w:sz="0" w:space="0" w:color="auto"/>
      </w:divBdr>
    </w:div>
    <w:div w:id="93404788">
      <w:bodyDiv w:val="1"/>
      <w:marLeft w:val="0"/>
      <w:marRight w:val="0"/>
      <w:marTop w:val="0"/>
      <w:marBottom w:val="0"/>
      <w:divBdr>
        <w:top w:val="none" w:sz="0" w:space="0" w:color="auto"/>
        <w:left w:val="none" w:sz="0" w:space="0" w:color="auto"/>
        <w:bottom w:val="none" w:sz="0" w:space="0" w:color="auto"/>
        <w:right w:val="none" w:sz="0" w:space="0" w:color="auto"/>
      </w:divBdr>
    </w:div>
    <w:div w:id="387000735">
      <w:bodyDiv w:val="1"/>
      <w:marLeft w:val="0"/>
      <w:marRight w:val="0"/>
      <w:marTop w:val="0"/>
      <w:marBottom w:val="0"/>
      <w:divBdr>
        <w:top w:val="none" w:sz="0" w:space="0" w:color="auto"/>
        <w:left w:val="none" w:sz="0" w:space="0" w:color="auto"/>
        <w:bottom w:val="none" w:sz="0" w:space="0" w:color="auto"/>
        <w:right w:val="none" w:sz="0" w:space="0" w:color="auto"/>
      </w:divBdr>
    </w:div>
    <w:div w:id="747774897">
      <w:bodyDiv w:val="1"/>
      <w:marLeft w:val="0"/>
      <w:marRight w:val="0"/>
      <w:marTop w:val="0"/>
      <w:marBottom w:val="0"/>
      <w:divBdr>
        <w:top w:val="none" w:sz="0" w:space="0" w:color="auto"/>
        <w:left w:val="none" w:sz="0" w:space="0" w:color="auto"/>
        <w:bottom w:val="none" w:sz="0" w:space="0" w:color="auto"/>
        <w:right w:val="none" w:sz="0" w:space="0" w:color="auto"/>
      </w:divBdr>
    </w:div>
    <w:div w:id="851067969">
      <w:bodyDiv w:val="1"/>
      <w:marLeft w:val="0"/>
      <w:marRight w:val="0"/>
      <w:marTop w:val="0"/>
      <w:marBottom w:val="0"/>
      <w:divBdr>
        <w:top w:val="none" w:sz="0" w:space="0" w:color="auto"/>
        <w:left w:val="none" w:sz="0" w:space="0" w:color="auto"/>
        <w:bottom w:val="none" w:sz="0" w:space="0" w:color="auto"/>
        <w:right w:val="none" w:sz="0" w:space="0" w:color="auto"/>
      </w:divBdr>
    </w:div>
    <w:div w:id="873810390">
      <w:bodyDiv w:val="1"/>
      <w:marLeft w:val="0"/>
      <w:marRight w:val="0"/>
      <w:marTop w:val="0"/>
      <w:marBottom w:val="0"/>
      <w:divBdr>
        <w:top w:val="none" w:sz="0" w:space="0" w:color="auto"/>
        <w:left w:val="none" w:sz="0" w:space="0" w:color="auto"/>
        <w:bottom w:val="none" w:sz="0" w:space="0" w:color="auto"/>
        <w:right w:val="none" w:sz="0" w:space="0" w:color="auto"/>
      </w:divBdr>
    </w:div>
    <w:div w:id="13467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sv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sv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testt</b:Tag>
    <b:SourceType>DocumentFromInternetSite</b:SourceType>
    <b:Guid>{B4D34B0F-9BC2-44CD-AE58-8333467F916B}</b:Guid>
    <b:Title>test</b:Title>
    <b:Year>testt</b:Year>
    <b:Author>
      <b:Author>
        <b:NameList>
          <b:Person>
            <b:Last>test</b:Last>
          </b:Person>
        </b:NameList>
      </b:Author>
    </b:Author>
    <b:InternetSiteTitle>test</b:InternetSiteTitle>
    <b:Month>teset</b:Month>
    <b:Day>setset</b:Day>
    <b:URL>setset</b:URL>
    <b:RefOrder>1</b:RefOrder>
  </b:Source>
</b:Sources>
</file>

<file path=customXml/itemProps1.xml><?xml version="1.0" encoding="utf-8"?>
<ds:datastoreItem xmlns:ds="http://schemas.openxmlformats.org/officeDocument/2006/customXml" ds:itemID="{4755536E-E147-4EF7-846A-D94C4958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3150</Words>
  <Characters>17961</Characters>
  <Application>Microsoft Office Word</Application>
  <DocSecurity>0</DocSecurity>
  <Lines>149</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Komorowski</dc:creator>
  <cp:keywords/>
  <dc:description/>
  <cp:lastModifiedBy>Komorowski Lukasz (CI/DAP53.1)</cp:lastModifiedBy>
  <cp:revision>24</cp:revision>
  <cp:lastPrinted>2021-01-27T21:29:00Z</cp:lastPrinted>
  <dcterms:created xsi:type="dcterms:W3CDTF">2020-05-27T16:17:00Z</dcterms:created>
  <dcterms:modified xsi:type="dcterms:W3CDTF">2021-01-27T21:31:00Z</dcterms:modified>
</cp:coreProperties>
</file>