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ContentType="application/vnd.openxmlformats-package.relationships+xml" PartName="/word/_rels/footer1.xml.rels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" w:after="0"/>
        <w:rPr>
          <w:sz w:val="21"/>
        </w:rPr>
      </w:pPr>
      <w:r>
        <w:rPr>
          <w:sz w:val="21"/>
        </w:rPr>
      </w:r>
    </w:p>
    <w:p>
      <w:pPr>
        <w:pStyle w:val="Normal"/>
        <w:spacing w:before="83" w:after="0"/>
        <w:ind w:left="2434" w:hanging="0"/>
        <w:rPr>
          <w:b/>
          <w:b/>
          <w:sz w:val="40"/>
        </w:rPr>
      </w:pPr>
      <w:r>
        <w:rPr>
          <w:b/>
          <w:sz w:val="40"/>
        </w:rPr>
        <w:t>Wissenschaftliches Gutachten</w:t>
      </w:r>
    </w:p>
    <w:p>
      <w:pPr>
        <w:pStyle w:val="Normal"/>
        <w:spacing w:before="8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00" w:type="dxa"/>
        <w:jc w:val="left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top w:w="0" w:type="dxa"/>
          <w:left w:w="22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795" w:hRule="atLeast"/>
        </w:trPr>
        <w:tc>
          <w:tcPr>
            <w:tcW w:w="9700" w:type="dxa"/>
            <w:tcBorders>
              <w:bottom w:val="single" w:sz="18" w:space="0" w:color="B2B2B2"/>
              <w:insideH w:val="single" w:sz="18" w:space="0" w:color="B2B2B2"/>
            </w:tcBorders>
            <w:shd w:color="auto" w:fill="C0C0C0" w:val="clear"/>
          </w:tcPr>
          <w:p>
            <w:pPr>
              <w:pStyle w:val="TableParagraph"/>
              <w:spacing w:before="247" w:after="0"/>
              <w:ind w:left="8" w:hanging="0"/>
              <w:rPr/>
            </w:pPr>
            <w:r>
              <w:rPr>
                <w:b/>
                <w:color w:val="FFFFFF"/>
                <w:sz w:val="30"/>
              </w:rPr>
              <w:t>Patientendaten</w:t>
            </w:r>
          </w:p>
        </w:tc>
      </w:tr>
      <w:tr>
        <w:trPr>
          <w:trHeight w:val="871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3261" w:leader="none"/>
                <w:tab w:val="left" w:pos="6510" w:leader="none"/>
              </w:tabs>
              <w:spacing w:before="35" w:after="0"/>
              <w:ind w:left="58" w:hanging="0"/>
              <w:rPr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b w:val="false"/>
                <w:bCs w:val="false"/>
                <w:sz w:val="20"/>
              </w:rPr>
              <w:t xml:space="preserve">Edgar</w:t>
            </w:r>
            <w:r>
              <w:rPr>
                <w:position w:val="1"/>
                <w:sz w:val="20"/>
              </w:rPr>
              <w:t xml:space="preserve">,  Hipp</w:t>
            </w:r>
          </w:p>
          <w:p>
            <w:pPr>
              <w:pStyle w:val="TableParagraph"/>
              <w:tabs>
                <w:tab w:val="left" w:pos="3847" w:leader="none"/>
              </w:tabs>
              <w:spacing w:before="61" w:after="0"/>
              <w:ind w:left="58" w:hanging="0"/>
              <w:rPr/>
            </w:pPr>
            <w:r>
              <w:rPr>
                <w:b/>
                <w:sz w:val="20"/>
                <w:lang w:val="de-DE"/>
              </w:rPr>
              <w:t xml:space="preserve">Geburtsdatum                       </w:t>
            </w:r>
            <w:r>
              <w:rPr>
                <w:b w:val="false"/>
                <w:bCs w:val="false"/>
                <w:sz w:val="20"/>
                <w:lang w:val="de-DE"/>
              </w:rPr>
              <w:t xml:space="preserve">test</w:t>
            </w:r>
          </w:p>
          <w:p>
            <w:pPr>
              <w:pStyle w:val="TableParagraph"/>
              <w:tabs>
                <w:tab w:val="left" w:pos="6510" w:leader="none"/>
              </w:tabs>
              <w:spacing w:lineRule="exact" w:line="235" w:before="50" w:after="0"/>
              <w:ind w:left="58" w:hanging="0"/>
              <w:rPr/>
            </w:pPr>
            <w:r>
              <w:rPr>
                <w:b/>
                <w:sz w:val="20"/>
                <w:lang w:val="de-DE"/>
              </w:rPr>
              <w:t xml:space="preserve">Befund                                   </w:t>
            </w:r>
            <w:r>
              <w:rPr>
                <w:b w:val="false"/>
                <w:bCs w:val="false"/>
                <w:position w:val="1"/>
                <w:sz w:val="20"/>
                <w:lang w:val="de-DE"/>
              </w:rPr>
              <w:t xml:space="preserve">stuff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/>
          <w:b/>
          <w:sz w:val="19"/>
          <w:lang w:val="de-DE"/>
        </w:rPr>
      </w:pPr>
      <w:r>
        <w:rPr>
          <w:b/>
          <w:sz w:val="19"/>
          <w:lang w:val="de-DE"/>
        </w:rPr>
      </w:r>
    </w:p>
    <w:tbl>
      <w:tblPr>
        <w:tblW w:w="9700" w:type="dxa"/>
        <w:jc w:val="left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343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4916" w:leader="none"/>
                <w:tab w:val="left" w:pos="7299" w:leader="none"/>
              </w:tabs>
              <w:spacing w:before="38" w:after="0"/>
              <w:ind w:left="58" w:hanging="0"/>
              <w:rPr/>
            </w:pPr>
            <w:r>
              <w:rPr>
                <w:position w:val="3"/>
                <w:sz w:val="20"/>
              </w:rPr>
              <w:t xml:space="preserve">Mutationslast                                                1</w:t>
            </w:r>
            <w:r>
              <w:rPr>
                <w:sz w:val="20"/>
              </w:rPr>
              <w:tab/>
              <w:t xml:space="preserve">                 nicht-synonyme SNV    2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  <w:lang w:val="de-DE"/>
              </w:rPr>
              <w:t xml:space="preserve">Anzahl betroffener Onkogenes                     3                   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 xml:space="preserve">Anzahl betroffener Tumorsupressorgene     4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 xml:space="preserve">HLA Typ                                                      5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 xml:space="preserve">Additional information                                 6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706" w:type="dxa"/>
        <w:jc w:val="center"/>
        <w:tblInd w:w="0" w:type="dxa"/>
        <w:tblBorders/>
        <w:tblCellMar>
          <w:top w:w="0" w:type="dxa"/>
          <w:left w:w="15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2068"/>
        <w:gridCol w:w="1624"/>
        <w:gridCol w:w="2336"/>
        <w:gridCol w:w="1500"/>
      </w:tblGrid>
      <w:tr>
        <w:trPr>
          <w:trHeight w:val="470" w:hRule="atLeast"/>
        </w:trPr>
        <w:tc>
          <w:tcPr>
            <w:tcW w:w="7528" w:type="dxa"/>
            <w:gridSpan w:val="4"/>
            <w:tcBorders/>
            <w:shd w:fill="F58220" w:val="clear"/>
          </w:tcPr>
          <w:p>
            <w:pPr>
              <w:pStyle w:val="TableParagraph"/>
              <w:spacing w:lineRule="exact" w:line="215" w:before="248" w:after="0"/>
              <w:ind w:left="8" w:hanging="0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 xml:space="preserve">Somatic Mutations in known driver </w:t>
            </w:r>
            <w:r>
              <w:rPr>
                <w:b/>
                <w:color w:val="FFFFFF"/>
                <w:sz w:val="26"/>
                <w:szCs w:val="26"/>
              </w:rPr>
              <w:t>G</w:t>
            </w:r>
            <w:r>
              <w:rPr>
                <w:b/>
                <w:color w:val="FFFFFF"/>
                <w:sz w:val="26"/>
                <w:szCs w:val="26"/>
              </w:rPr>
              <w:t>enes</w:t>
            </w:r>
          </w:p>
          <w:p>
            <w:pPr>
              <w:pStyle w:val="TableParagraph"/>
              <w:spacing w:lineRule="exact" w:line="215" w:before="45" w:after="0"/>
              <w:ind w:hanging="0"/>
              <w:rPr/>
            </w:pPr>
            <w:r>
              <w:rPr>
                <w:b/>
                <w:sz w:val="20"/>
              </w:rPr>
              <w:t xml:space="preserve">   </w:t>
            </w:r>
          </w:p>
        </w:tc>
      </w:tr>
      <w:tr>
        <w:trPr>
          <w:trHeight w:val="542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58" w:hanging="0"/>
              <w:rPr/>
            </w:pPr>
            <w:r>
              <w:rPr>
                <w:b/>
                <w:sz w:val="20"/>
              </w:rPr>
              <w:t>Gen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hanging="0"/>
              <w:rPr/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Mutation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341" w:hanging="0"/>
              <w:rPr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163" w:hanging="0"/>
              <w:rPr/>
            </w:pPr>
            <w:r>
              <w:rPr>
                <w:b/>
                <w:sz w:val="20"/>
              </w:rPr>
              <w:t>Reference</w:t>
            </w:r>
          </w:p>
        </w:tc>
      </w:tr>
      <w:tr>
        <w:trPr>
          <w:trHeight w:val="360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 xml:space="preserve">BRAF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p.Val600Glu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4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1,2,3,4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</w:tr>
      <w:tr>
        <w:trPr>
          <w:trHeight w:val="360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 xml:space="preserve">SF3B1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p.Pro718Leu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3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1,2,4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</w:tr>
      <w:tr>
        <w:trPr>
          <w:trHeight w:val="360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 xml:space="preserve">DLEC1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p.Asp215Asn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2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 xml:space="preserve">3,5</w:t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</w:p>
        </w:tc>
      </w:tr>
    </w:tbl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912" w:type="dxa"/>
        <w:jc w:val="left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85"/>
        <w:gridCol w:w="1930"/>
        <w:gridCol w:w="1749"/>
        <w:gridCol w:w="1896"/>
        <w:gridCol w:w="2352"/>
      </w:tblGrid>
      <w:tr>
        <w:trPr>
          <w:trHeight w:val="628" w:hRule="atLeast"/>
        </w:trPr>
        <w:tc>
          <w:tcPr>
            <w:tcW w:w="99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21409A" w:val="clear"/>
            <w:vAlign w:val="center"/>
          </w:tcPr>
          <w:p>
            <w:pPr>
              <w:pStyle w:val="TableContents"/>
              <w:jc w:val="center"/>
              <w:textAlignment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 xml:space="preserve">Somatic Mutations in pharmaceutical target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P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rotein</w:t>
            </w:r>
          </w:p>
        </w:tc>
      </w:tr>
      <w:tr>
        <w:trPr/>
        <w:tc>
          <w:tcPr>
            <w:tcW w:w="99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Direct Association (Mutation in drug target)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Confidence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p.Val600Glu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sorafenib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9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6,7,8,9,10,11,12,13,14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p.Val600Glu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dabrafenib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12,14,15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p.Val600Glu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vemurafenib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12,14,16,17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TextBody"/>
        <w:pageBreakBefore w:val="false"/>
        <w:rPr/>
      </w:pPr>
      <w:r>
        <w:rPr/>
      </w:r>
    </w:p>
    <w:tbl>
      <w:tblPr>
        <w:tblW w:w="9984" w:type="dxa"/>
        <w:jc w:val="left"/>
        <w:tblInd w:w="58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578"/>
        <w:gridCol w:w="1440"/>
        <w:gridCol w:w="1524"/>
        <w:gridCol w:w="1620"/>
        <w:gridCol w:w="2160"/>
      </w:tblGrid>
      <w:tr>
        <w:trPr>
          <w:tblHeader w:val="true"/>
        </w:trPr>
        <w:tc>
          <w:tcPr>
            <w:tcW w:w="9984" w:type="dxa"/>
            <w:gridSpan w:val="6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Ind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irect Association (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Other Mutations with known effect on drug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blHeader w:val="true"/>
        </w:trPr>
        <w:tc>
          <w:tcPr>
            <w:tcW w:w="1662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578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44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524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Disease</w:t>
            </w:r>
          </w:p>
        </w:tc>
        <w:tc>
          <w:tcPr>
            <w:tcW w:w="162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Evidence</w:t>
            </w:r>
          </w:p>
        </w:tc>
        <w:tc>
          <w:tcPr>
            <w:tcW w:w="216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578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AGK-BRAF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Sorafenib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Melanoma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29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578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AGK-BRAF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Vemurafenib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Melanoma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29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BRAF</w:t>
            </w:r>
          </w:p>
        </w:tc>
        <w:tc>
          <w:tcPr>
            <w:tcW w:w="1578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L597R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Vemurafenib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Melanoma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 xml:space="preserve">30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440"/>
        <w:gridCol w:w="1625"/>
        <w:gridCol w:w="1440"/>
        <w:gridCol w:w="1523"/>
        <w:gridCol w:w="2158"/>
      </w:tblGrid>
      <w:tr>
        <w:trPr/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A65D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Somatic Mutations with known pharmacogenetic effect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Disease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Evidence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BRAF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V600E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Cetuximab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Colorectal Cancer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B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25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BRAF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V600E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Dabrafenib,Trametinib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Melanoma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B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24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BRAF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V600E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Dabrafenib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Non-small Cell Lung Carcinoma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28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References</w:t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440"/>
        <w:gridCol w:w="8546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1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Futreal et al., A census of human cancer genes., Nature reviews. Cancer, 4, 3, 2004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2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Vogelstein et al., Cancer genome landscapes., Science (New York, N.Y.), 339, 6127, 2013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3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Apweiler et al., UniProt: the Universal Protein knowledgebase., Nucleic acids research, 32, Database issue, 2004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4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Rubio et al., In silico prescription of anticancer drugs to cohorts of 28 tumor types reveals targeting opportunities., Cancer cell, 27, 3, 2015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Appendix</w:t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6"/>
        <w:gridCol w:w="2497"/>
        <w:gridCol w:w="2496"/>
        <w:gridCol w:w="2497"/>
      </w:tblGrid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dbSNP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COSMIC</w:t>
            </w:r>
          </w:p>
        </w:tc>
      </w:tr>
      <w:tr>
        <w:trPr/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TNFRSF8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p.Pro215Ser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rs267597959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COSM14024</w:t>
            </w:r>
          </w:p>
        </w:tc>
      </w:tr>
      <w:tr>
        <w:trPr/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KIAA0319L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p.Pro278Ser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rs267598576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COSM36587</w:t>
            </w:r>
          </w:p>
        </w:tc>
      </w:tr>
      <w:tr>
        <w:trPr/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FAM46C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p.Thr209Asn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character(0)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/>
            </w:r>
          </w:p>
        </w:tc>
      </w:tr>
    </w:tbl>
    <w:p>
      <w:pPr>
        <w:pStyle w:val="Text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80" w:right="940" w:header="1110" w:top="1920" w:footer="1494" w:bottom="16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 w:before="0" w:after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695960</wp:posOffset>
              </wp:positionH>
              <wp:positionV relativeFrom="page">
                <wp:posOffset>9603740</wp:posOffset>
              </wp:positionV>
              <wp:extent cx="1191895" cy="168275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124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Oct 14, 2016, 6:27 PM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4.8pt;margin-top:756.2pt;width:93.7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Oct 14, 2016, 6:27 PM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3790315</wp:posOffset>
              </wp:positionH>
              <wp:positionV relativeFrom="page">
                <wp:posOffset>9622790</wp:posOffset>
              </wp:positionV>
              <wp:extent cx="662305" cy="168275"/>
              <wp:effectExtent l="0" t="0" r="0" b="0"/>
              <wp:wrapNone/>
              <wp:docPr id="5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298.45pt;margin-top:757.7pt;width:52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4827905</wp:posOffset>
              </wp:positionH>
              <wp:positionV relativeFrom="page">
                <wp:posOffset>9622790</wp:posOffset>
              </wp:positionV>
              <wp:extent cx="116205" cy="168275"/>
              <wp:effectExtent l="0" t="0" r="0" b="0"/>
              <wp:wrapNone/>
              <wp:docPr id="7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56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4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380.15pt;margin-top:757.7pt;width:9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4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5515610</wp:posOffset>
              </wp:positionH>
              <wp:positionV relativeFrom="page">
                <wp:posOffset>9622790</wp:posOffset>
              </wp:positionV>
              <wp:extent cx="62865" cy="168275"/>
              <wp:effectExtent l="0" t="0" r="0" b="0"/>
              <wp:wrapNone/>
              <wp:docPr id="9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434.3pt;margin-top:757.7pt;width:4.8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/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6190615</wp:posOffset>
              </wp:positionH>
              <wp:positionV relativeFrom="page">
                <wp:posOffset>9622790</wp:posOffset>
              </wp:positionV>
              <wp:extent cx="90805" cy="168275"/>
              <wp:effectExtent l="0" t="0" r="0" b="0"/>
              <wp:wrapNone/>
              <wp:docPr id="11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0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487.45pt;margin-top:757.7pt;width:7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 w:before="0" w:after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" w:after="0"/>
    </w:pPr>
    <w:rPr>
      <w:b/>
      <w:bCs/>
      <w:sz w:val="23"/>
      <w:szCs w:val="23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xmlns:w14="http://schemas.microsoft.com/office/word/2010/wordml" xmlns:mc="http://schemas.openxmlformats.org/markup-compatibility/2006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character" w:default="1" w:styleId="Policepardfaut">
    <w:name w:val="Default Paragraph Font"/>
    <w:uiPriority w:val="1"/>
    <w:semiHidden/>
    <w:unhideWhenUsed/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basedOn w:val="Policepardfaut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basedOn w:val="Policepardfaut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basedOn w:val="Policepardfaut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basedOn w:val="Policepardfaut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basedOn w:val="Policepardfaut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LibreOffice/6.0.1.1$Linux_X86_64 LibreOffice_project/00m0$Build-1</Application>
  <Pages>2</Pages>
  <Words>125</Words>
  <Characters>1222</Characters>
  <CharactersWithSpaces>1571</CharactersWithSpaces>
  <Paragraphs>75</Paragraphs>
  <Company>University of Tübingen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2018-02-28T11:06:00Z</dcterms:created>
  <dc:creator/>
  <dc:description/>
  <dc:language>en-US</dc:language>
  <cp:lastModifiedBy/>
  <dcterms:modified xsi:type="dcterms:W3CDTF">2018-03-01T15:16:36Z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2018-02-28T00:00:00Z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