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42770" w14:textId="77777777" w:rsidR="00FF27B6" w:rsidRDefault="00700A86">
      <w:pPr>
        <w:spacing w:before="1600"/>
        <w:jc w:val="center"/>
      </w:pPr>
      <w:r>
        <w:rPr>
          <w:b/>
          <w:bCs/>
          <w:color w:val="1F4E79"/>
          <w:sz w:val="30"/>
          <w:szCs w:val="30"/>
        </w:rPr>
        <w:t>CLOUDCORE SOLUTIONS</w:t>
      </w:r>
    </w:p>
    <w:p w14:paraId="0529C1FE" w14:textId="77777777" w:rsidR="00FF27B6" w:rsidRDefault="00700A86">
      <w:pPr>
        <w:spacing w:after="520"/>
        <w:jc w:val="center"/>
      </w:pPr>
      <w:r>
        <w:rPr>
          <w:color w:val="595959"/>
        </w:rPr>
        <w:t>Advanced Cloud &amp; Data Analytics</w:t>
      </w:r>
    </w:p>
    <w:p w14:paraId="2E03D9A2" w14:textId="77777777" w:rsidR="00FF27B6" w:rsidRDefault="00700A86">
      <w:pPr>
        <w:jc w:val="center"/>
      </w:pPr>
      <w:r>
        <w:rPr>
          <w:color w:val="595959"/>
          <w:sz w:val="26"/>
          <w:szCs w:val="26"/>
        </w:rPr>
        <w:t>Response to Request for Proposal</w:t>
      </w:r>
    </w:p>
    <w:p w14:paraId="64C0E3B5" w14:textId="77777777" w:rsidR="00FF27B6" w:rsidRDefault="00700A86">
      <w:pPr>
        <w:spacing w:after="240"/>
        <w:jc w:val="center"/>
      </w:pPr>
      <w:r>
        <w:rPr>
          <w:b/>
          <w:bCs/>
          <w:sz w:val="40"/>
          <w:szCs w:val="40"/>
        </w:rPr>
        <w:t>Migration &amp; Modernisation of Manga's Data Architecture to the Cloud</w:t>
      </w:r>
    </w:p>
    <w:p w14:paraId="56EC7802" w14:textId="77777777" w:rsidR="00FF27B6" w:rsidRDefault="00700A86">
      <w:pPr>
        <w:spacing w:after="600"/>
        <w:jc w:val="center"/>
      </w:pPr>
      <w:r>
        <w:rPr>
          <w:i/>
          <w:iCs/>
          <w:color w:val="2E75B6"/>
        </w:rPr>
        <w:t>The Manga DataHub — a cloud-native AWS data lakehouse</w:t>
      </w:r>
    </w:p>
    <w:p w14:paraId="48C4DC16" w14:textId="77777777" w:rsidR="00FF27B6" w:rsidRDefault="00700A86">
      <w:pPr>
        <w:jc w:val="center"/>
      </w:pPr>
      <w:r>
        <w:rPr>
          <w:sz w:val="20"/>
          <w:szCs w:val="20"/>
        </w:rPr>
        <w:t>Submitted to:  Manga S.L. — Barcelona, Spain</w:t>
      </w:r>
    </w:p>
    <w:p w14:paraId="433C1F65" w14:textId="77777777" w:rsidR="00FF27B6" w:rsidRDefault="00700A86">
      <w:pPr>
        <w:spacing w:after="240"/>
        <w:jc w:val="center"/>
      </w:pPr>
      <w:r>
        <w:rPr>
          <w:color w:val="595959"/>
          <w:sz w:val="18"/>
          <w:szCs w:val="18"/>
        </w:rPr>
        <w:t>IE University · MBD-EN2025 · Data Analytics in the Cloud · Group Work Option B</w:t>
      </w:r>
    </w:p>
    <w:p w14:paraId="748D32A4" w14:textId="77777777" w:rsidR="00FF27B6" w:rsidRDefault="00700A86">
      <w:pPr>
        <w:jc w:val="center"/>
      </w:pPr>
      <w:r>
        <w:rPr>
          <w:sz w:val="18"/>
          <w:szCs w:val="18"/>
        </w:rPr>
        <w:t>Prepared by:  Andrea Alarcón Valles · Mateus Carneiro · Tina Jannasch ·</w:t>
      </w:r>
    </w:p>
    <w:p w14:paraId="67DCAC52" w14:textId="77777777" w:rsidR="00FF27B6" w:rsidRDefault="00700A86">
      <w:pPr>
        <w:spacing w:after="240"/>
        <w:jc w:val="center"/>
      </w:pPr>
      <w:r>
        <w:rPr>
          <w:sz w:val="18"/>
          <w:szCs w:val="18"/>
        </w:rPr>
        <w:t>Ricardo Liévano Pedroza · Luka Tcheishvili · Nicklas Urban</w:t>
      </w:r>
    </w:p>
    <w:p w14:paraId="17CBB19D" w14:textId="77777777" w:rsidR="00FF27B6" w:rsidRDefault="00700A86">
      <w:pPr>
        <w:jc w:val="center"/>
      </w:pPr>
      <w:r>
        <w:rPr>
          <w:color w:val="595959"/>
          <w:sz w:val="16"/>
          <w:szCs w:val="16"/>
        </w:rPr>
        <w:t>v2.0 — Final Proposal · Confidential</w:t>
      </w:r>
    </w:p>
    <w:p w14:paraId="7C69961E" w14:textId="77777777" w:rsidR="00FF27B6" w:rsidRDefault="00700A86">
      <w:pPr>
        <w:pStyle w:val="Heading1"/>
        <w:pageBreakBefore/>
      </w:pPr>
      <w:r>
        <w:lastRenderedPageBreak/>
        <w:t>Table of Contents</w:t>
      </w:r>
    </w:p>
    <w:p w14:paraId="79B1050A" w14:textId="709D0EE9" w:rsidR="00FF27B6" w:rsidRDefault="00700A86">
      <w:pPr>
        <w:tabs>
          <w:tab w:val="right" w:leader="dot" w:pos="9360"/>
        </w:tabs>
        <w:spacing w:after="90"/>
      </w:pPr>
      <w:hyperlink w:anchor="sec1" w:history="1">
        <w:r>
          <w:rPr>
            <w:rStyle w:val="Hyperlink"/>
          </w:rPr>
          <w:t>1. Executive Summary</w:t>
        </w:r>
      </w:hyperlink>
      <w:r>
        <w:tab/>
        <w:t>3</w:t>
      </w:r>
    </w:p>
    <w:p w14:paraId="171B527D" w14:textId="681A009C" w:rsidR="00FF27B6" w:rsidRDefault="00700A86">
      <w:pPr>
        <w:tabs>
          <w:tab w:val="right" w:leader="dot" w:pos="9360"/>
        </w:tabs>
        <w:spacing w:after="90"/>
      </w:pPr>
      <w:hyperlink w:anchor="sec2" w:history="1">
        <w:r>
          <w:rPr>
            <w:rStyle w:val="Hyperlink"/>
          </w:rPr>
          <w:t>2. High-Level Architecture</w:t>
        </w:r>
      </w:hyperlink>
      <w:r>
        <w:tab/>
        <w:t>4</w:t>
      </w:r>
    </w:p>
    <w:p w14:paraId="0E3830A6" w14:textId="49E47C02" w:rsidR="00FF27B6" w:rsidRDefault="00700A86">
      <w:pPr>
        <w:tabs>
          <w:tab w:val="right" w:leader="dot" w:pos="9360"/>
        </w:tabs>
        <w:spacing w:after="90"/>
      </w:pPr>
      <w:hyperlink w:anchor="sec3" w:history="1">
        <w:r>
          <w:rPr>
            <w:rStyle w:val="Hyperlink"/>
          </w:rPr>
          <w:t>3. Low-Level Architecture</w:t>
        </w:r>
      </w:hyperlink>
      <w:r>
        <w:tab/>
        <w:t>5</w:t>
      </w:r>
    </w:p>
    <w:p w14:paraId="1CAEFC5D" w14:textId="18E3A8D8" w:rsidR="00FF27B6" w:rsidRDefault="00700A86">
      <w:pPr>
        <w:tabs>
          <w:tab w:val="right" w:leader="dot" w:pos="9360"/>
        </w:tabs>
        <w:spacing w:after="90"/>
      </w:pPr>
      <w:hyperlink w:anchor="sec4" w:history="1">
        <w:r>
          <w:rPr>
            <w:rStyle w:val="Hyperlink"/>
          </w:rPr>
          <w:t>4. Project Implementation</w:t>
        </w:r>
      </w:hyperlink>
      <w:r>
        <w:tab/>
        <w:t>6</w:t>
      </w:r>
    </w:p>
    <w:p w14:paraId="00144E23" w14:textId="22DFB370" w:rsidR="00FF27B6" w:rsidRDefault="00700A86">
      <w:pPr>
        <w:tabs>
          <w:tab w:val="right" w:leader="dot" w:pos="9360"/>
        </w:tabs>
        <w:spacing w:after="90"/>
      </w:pPr>
      <w:hyperlink w:anchor="sec5" w:history="1">
        <w:r>
          <w:rPr>
            <w:rStyle w:val="Hyperlink"/>
          </w:rPr>
          <w:t>5. Sample Use Cases</w:t>
        </w:r>
      </w:hyperlink>
      <w:r>
        <w:tab/>
        <w:t>8</w:t>
      </w:r>
    </w:p>
    <w:p w14:paraId="260639BB" w14:textId="6F5CC17D" w:rsidR="00FF27B6" w:rsidRDefault="00700A86">
      <w:pPr>
        <w:tabs>
          <w:tab w:val="right" w:leader="dot" w:pos="9360"/>
        </w:tabs>
        <w:spacing w:after="90"/>
      </w:pPr>
      <w:hyperlink w:anchor="sec6" w:history="1">
        <w:r>
          <w:rPr>
            <w:rStyle w:val="Hyperlink"/>
          </w:rPr>
          <w:t>6. Future Improvements</w:t>
        </w:r>
      </w:hyperlink>
      <w:r>
        <w:tab/>
        <w:t>9</w:t>
      </w:r>
    </w:p>
    <w:p w14:paraId="57E18A6F" w14:textId="1547CA94" w:rsidR="00FF27B6" w:rsidRDefault="00700A86">
      <w:pPr>
        <w:tabs>
          <w:tab w:val="right" w:leader="dot" w:pos="9360"/>
        </w:tabs>
        <w:spacing w:after="90"/>
      </w:pPr>
      <w:hyperlink w:anchor="secApp" w:history="1">
        <w:r>
          <w:rPr>
            <w:rStyle w:val="Hyperlink"/>
          </w:rPr>
          <w:t>Appendix</w:t>
        </w:r>
      </w:hyperlink>
      <w:r>
        <w:tab/>
        <w:t>10</w:t>
      </w:r>
    </w:p>
    <w:p w14:paraId="0288A117" w14:textId="77777777" w:rsidR="00FF27B6" w:rsidRDefault="00700A86">
      <w:pPr>
        <w:pStyle w:val="Heading1"/>
        <w:pageBreakBefore/>
      </w:pPr>
      <w:bookmarkStart w:id="0" w:name="sec1"/>
      <w:r>
        <w:lastRenderedPageBreak/>
        <w:t>1. Executive Summary</w:t>
      </w:r>
      <w:bookmarkEnd w:id="0"/>
    </w:p>
    <w:p w14:paraId="4E989DE3" w14:textId="77777777" w:rsidR="00FF27B6" w:rsidRDefault="00700A86">
      <w:pPr>
        <w:spacing w:after="120" w:line="276" w:lineRule="auto"/>
      </w:pPr>
      <w:r>
        <w:t xml:space="preserve">Manga stands at an inflection point. With annual revenues of </w:t>
      </w:r>
      <w:r>
        <w:rPr>
          <w:b/>
          <w:bCs/>
        </w:rPr>
        <w:t>€280 million</w:t>
      </w:r>
      <w:r>
        <w:t xml:space="preserve"> across 100+ stores worldwide, the brand has a strong foundation — yet growth of only </w:t>
      </w:r>
      <w:r>
        <w:rPr>
          <w:b/>
          <w:bCs/>
        </w:rPr>
        <w:t>3.5%</w:t>
      </w:r>
      <w:r>
        <w:t xml:space="preserve"> trails the market, online sales grew just </w:t>
      </w:r>
      <w:r>
        <w:rPr>
          <w:b/>
          <w:bCs/>
        </w:rPr>
        <w:t>1.2% year-over-year</w:t>
      </w:r>
      <w:r>
        <w:t xml:space="preserve">, and the company spends roughly </w:t>
      </w:r>
      <w:r>
        <w:rPr>
          <w:b/>
          <w:bCs/>
        </w:rPr>
        <w:t>twice as much as competitors</w:t>
      </w:r>
      <w:r>
        <w:t xml:space="preserve"> for half the analytical output. The root cause is architectural: independent ETL pipelines triggered by daily cron jobs, aggregated into Excel files shared once per day, cannot power the real-time, personalised experiences modern retail demands.</w:t>
      </w:r>
    </w:p>
    <w:p w14:paraId="4FEDDF97" w14:textId="77777777" w:rsidR="00FF27B6" w:rsidRDefault="00700A86">
      <w:pPr>
        <w:spacing w:after="120" w:line="276" w:lineRule="auto"/>
      </w:pPr>
      <w:r>
        <w:t xml:space="preserve">CloudCore Solutions proposes the </w:t>
      </w:r>
      <w:r>
        <w:rPr>
          <w:b/>
          <w:bCs/>
        </w:rPr>
        <w:t>Manga DataHub</w:t>
      </w:r>
      <w:r>
        <w:t xml:space="preserve"> — a cloud-native AWS data lakehouse that replaces this legacy stack with a unified, scalable, secure platform built around three strategic pillars:</w:t>
      </w:r>
    </w:p>
    <w:p w14:paraId="73A77154" w14:textId="77777777" w:rsidR="00FF27B6" w:rsidRDefault="00700A86">
      <w:pPr>
        <w:pStyle w:val="ListParagraph"/>
        <w:numPr>
          <w:ilvl w:val="0"/>
          <w:numId w:val="2"/>
        </w:numPr>
        <w:spacing w:after="60" w:line="276" w:lineRule="auto"/>
      </w:pPr>
      <w:r>
        <w:rPr>
          <w:b/>
          <w:bCs/>
        </w:rPr>
        <w:t>Unify</w:t>
      </w:r>
      <w:r>
        <w:t xml:space="preserve"> — centralise every data source into a single governed platform, replacing siloed pipelines and manual Excel reporting.</w:t>
      </w:r>
    </w:p>
    <w:p w14:paraId="79B39CAC" w14:textId="77777777" w:rsidR="00FF27B6" w:rsidRDefault="00700A86">
      <w:pPr>
        <w:pStyle w:val="ListParagraph"/>
        <w:numPr>
          <w:ilvl w:val="0"/>
          <w:numId w:val="2"/>
        </w:numPr>
        <w:spacing w:after="60" w:line="276" w:lineRule="auto"/>
      </w:pPr>
      <w:r>
        <w:rPr>
          <w:b/>
          <w:bCs/>
        </w:rPr>
        <w:t>Accelerate</w:t>
      </w:r>
      <w:r>
        <w:t xml:space="preserve"> — cut time-to-insight from 24 hours to sub-second, enabling live inventory, sales dashboards, and fraud detection.</w:t>
      </w:r>
    </w:p>
    <w:p w14:paraId="7A8E67BE" w14:textId="77777777" w:rsidR="00FF27B6" w:rsidRDefault="00700A86">
      <w:pPr>
        <w:pStyle w:val="ListParagraph"/>
        <w:numPr>
          <w:ilvl w:val="0"/>
          <w:numId w:val="2"/>
        </w:numPr>
        <w:spacing w:after="60" w:line="276" w:lineRule="auto"/>
      </w:pPr>
      <w:r>
        <w:rPr>
          <w:b/>
          <w:bCs/>
        </w:rPr>
        <w:t>Enable</w:t>
      </w:r>
      <w:r>
        <w:t xml:space="preserve"> — deliver the ML features on Manga's roadmap (recommendations, dynamic pricing, demand forecasting, virtual assistant) impossible today.</w:t>
      </w:r>
    </w:p>
    <w:p w14:paraId="442EEE91" w14:textId="77777777" w:rsidR="00FF27B6" w:rsidRDefault="00700A86">
      <w:pPr>
        <w:spacing w:after="120" w:line="276" w:lineRule="auto"/>
      </w:pPr>
      <w:r>
        <w:t>The solution is built entirely on AWS using open-source tooling (Apache Airflow, Apache Spark, open Parquet) to guarantee portability and eliminate vendor lock-in — directly addressing the CTO's concerns. Three isolated environments (Dev, Pre-Prod, Prod) are provisioned from identical Infrastructure-as-Code templates, with anonymised production samples in non-production. Security is designed in from day one: column-level access control, automated PII scanning, KMS encryption, and full GDPR audit trails.</w:t>
      </w:r>
    </w:p>
    <w:p w14:paraId="578304F8" w14:textId="77777777" w:rsidR="00FF27B6" w:rsidRDefault="00700A86">
      <w:pPr>
        <w:spacing w:after="120" w:line="276" w:lineRule="auto"/>
      </w:pPr>
      <w:r>
        <w:t xml:space="preserve">Expected outcomes within 12 months: a </w:t>
      </w:r>
      <w:r>
        <w:rPr>
          <w:b/>
          <w:bCs/>
        </w:rPr>
        <w:t>40–60% reduction in infrastructure cost</w:t>
      </w:r>
      <w:r>
        <w:t xml:space="preserve"> versus the colocation model, real-time reporting replacing the daily batch cycle, and the first ML use cases live within six months of kickoff.</w:t>
      </w:r>
    </w:p>
    <w:p w14:paraId="58628532" w14:textId="77777777" w:rsidR="00FF27B6" w:rsidRDefault="00700A86">
      <w:pPr>
        <w:pStyle w:val="Heading2"/>
      </w:pPr>
      <w:r>
        <w:t>Current State vs. Manga DataHub</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FF27B6" w14:paraId="598E4A2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69CA69B" w14:textId="77777777" w:rsidR="00FF27B6" w:rsidRDefault="00700A86">
            <w:r>
              <w:rPr>
                <w:b/>
                <w:bCs/>
                <w:color w:val="FFFFFF"/>
                <w:sz w:val="19"/>
                <w:szCs w:val="19"/>
              </w:rPr>
              <w:t>Dimension</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2B0612C" w14:textId="77777777" w:rsidR="00FF27B6" w:rsidRDefault="00700A86">
            <w:r>
              <w:rPr>
                <w:b/>
                <w:bCs/>
                <w:color w:val="FFFFFF"/>
                <w:sz w:val="19"/>
                <w:szCs w:val="19"/>
              </w:rPr>
              <w:t>Current State</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38CBF28" w14:textId="77777777" w:rsidR="00FF27B6" w:rsidRDefault="00700A86">
            <w:r>
              <w:rPr>
                <w:b/>
                <w:bCs/>
                <w:color w:val="FFFFFF"/>
                <w:sz w:val="19"/>
                <w:szCs w:val="19"/>
              </w:rPr>
              <w:t>With Manga DataHub</w:t>
            </w:r>
          </w:p>
        </w:tc>
      </w:tr>
      <w:tr w:rsidR="00FF27B6" w14:paraId="147BBB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BEC3B5" w14:textId="77777777" w:rsidR="00FF27B6" w:rsidRDefault="00700A86">
            <w:r>
              <w:rPr>
                <w:sz w:val="19"/>
                <w:szCs w:val="19"/>
              </w:rPr>
              <w:t>Reporting lag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66C9ED" w14:textId="77777777" w:rsidR="00FF27B6" w:rsidRDefault="00700A86">
            <w:r>
              <w:rPr>
                <w:sz w:val="19"/>
                <w:szCs w:val="19"/>
              </w:rPr>
              <w:t>24 hours (daily batch)</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5D5467" w14:textId="77777777" w:rsidR="00FF27B6" w:rsidRDefault="00700A86">
            <w:r>
              <w:rPr>
                <w:sz w:val="19"/>
                <w:szCs w:val="19"/>
              </w:rPr>
              <w:t>Sub-second (real-time streaming)</w:t>
            </w:r>
          </w:p>
        </w:tc>
      </w:tr>
      <w:tr w:rsidR="00FF27B6" w14:paraId="271A19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9E62C85" w14:textId="77777777" w:rsidR="00FF27B6" w:rsidRDefault="00700A86">
            <w:r>
              <w:rPr>
                <w:sz w:val="19"/>
                <w:szCs w:val="19"/>
              </w:rPr>
              <w:t>Infrastructure cost</w:t>
            </w:r>
          </w:p>
        </w:tc>
        <w:tc>
          <w:tcPr>
            <w:tcW w:w="338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3E46E2F4" w14:textId="77777777" w:rsidR="00FF27B6" w:rsidRDefault="00700A86">
            <w:r>
              <w:rPr>
                <w:sz w:val="19"/>
                <w:szCs w:val="19"/>
              </w:rPr>
              <w:t>≈2× competitor average</w:t>
            </w:r>
          </w:p>
        </w:tc>
        <w:tc>
          <w:tcPr>
            <w:tcW w:w="338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407D6F0D" w14:textId="77777777" w:rsidR="00FF27B6" w:rsidRDefault="00700A86">
            <w:r>
              <w:rPr>
                <w:sz w:val="19"/>
                <w:szCs w:val="19"/>
              </w:rPr>
              <w:t>Projected 40–60% reduction</w:t>
            </w:r>
          </w:p>
        </w:tc>
      </w:tr>
      <w:tr w:rsidR="00FF27B6" w14:paraId="23352F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4B13B8" w14:textId="77777777" w:rsidR="00FF27B6" w:rsidRDefault="00700A86">
            <w:r>
              <w:rPr>
                <w:sz w:val="19"/>
                <w:szCs w:val="19"/>
              </w:rPr>
              <w:t>BI access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405002" w14:textId="77777777" w:rsidR="00FF27B6" w:rsidRDefault="00700A86">
            <w:r>
              <w:rPr>
                <w:sz w:val="19"/>
                <w:szCs w:val="19"/>
              </w:rPr>
              <w:t>Manual Excel files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4A5896" w14:textId="77777777" w:rsidR="00FF27B6" w:rsidRDefault="00700A86">
            <w:r>
              <w:rPr>
                <w:sz w:val="19"/>
                <w:szCs w:val="19"/>
              </w:rPr>
              <w:t>Self-service dashboards</w:t>
            </w:r>
          </w:p>
        </w:tc>
      </w:tr>
      <w:tr w:rsidR="00FF27B6" w14:paraId="19AC74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4A741BF4" w14:textId="77777777" w:rsidR="00FF27B6" w:rsidRDefault="00700A86">
            <w:r>
              <w:rPr>
                <w:sz w:val="19"/>
                <w:szCs w:val="19"/>
              </w:rPr>
              <w:t>ML capabilities</w:t>
            </w:r>
          </w:p>
        </w:tc>
        <w:tc>
          <w:tcPr>
            <w:tcW w:w="338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3613A60" w14:textId="77777777" w:rsidR="00FF27B6" w:rsidRDefault="00700A86">
            <w:r>
              <w:rPr>
                <w:sz w:val="19"/>
                <w:szCs w:val="19"/>
              </w:rPr>
              <w:t>None</w:t>
            </w:r>
          </w:p>
        </w:tc>
        <w:tc>
          <w:tcPr>
            <w:tcW w:w="338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240973CE" w14:textId="77777777" w:rsidR="00FF27B6" w:rsidRDefault="00700A86">
            <w:r>
              <w:rPr>
                <w:sz w:val="19"/>
                <w:szCs w:val="19"/>
              </w:rPr>
              <w:t>Forecasting, recommendations, pricing</w:t>
            </w:r>
          </w:p>
        </w:tc>
      </w:tr>
      <w:tr w:rsidR="00FF27B6" w14:paraId="04E597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F03570" w14:textId="77777777" w:rsidR="00FF27B6" w:rsidRDefault="00700A86">
            <w:r>
              <w:rPr>
                <w:sz w:val="19"/>
                <w:szCs w:val="19"/>
              </w:rPr>
              <w:t>Data environments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3ED18C" w14:textId="77777777" w:rsidR="00FF27B6" w:rsidRDefault="00700A86">
            <w:r>
              <w:rPr>
                <w:sz w:val="19"/>
                <w:szCs w:val="19"/>
              </w:rPr>
              <w:t>Single (production only)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F9A2C0" w14:textId="77777777" w:rsidR="00FF27B6" w:rsidRDefault="00700A86">
            <w:r>
              <w:rPr>
                <w:sz w:val="19"/>
                <w:szCs w:val="19"/>
              </w:rPr>
              <w:t>Dev / Pre-Prod / Prod (isolated)</w:t>
            </w:r>
          </w:p>
        </w:tc>
      </w:tr>
      <w:tr w:rsidR="00FF27B6" w14:paraId="50D01BA3"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6E2F4A5" w14:textId="77777777" w:rsidR="00FF27B6" w:rsidRDefault="00700A86">
            <w:r>
              <w:rPr>
                <w:sz w:val="19"/>
                <w:szCs w:val="19"/>
              </w:rPr>
              <w:t>GDPR compliance</w:t>
            </w:r>
          </w:p>
        </w:tc>
        <w:tc>
          <w:tcPr>
            <w:tcW w:w="338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BD05839" w14:textId="77777777" w:rsidR="00FF27B6" w:rsidRDefault="00700A86">
            <w:r>
              <w:rPr>
                <w:sz w:val="19"/>
                <w:szCs w:val="19"/>
              </w:rPr>
              <w:t>Unclear</w:t>
            </w:r>
          </w:p>
        </w:tc>
        <w:tc>
          <w:tcPr>
            <w:tcW w:w="338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02D56D56" w14:textId="77777777" w:rsidR="00FF27B6" w:rsidRDefault="00700A86">
            <w:r>
              <w:rPr>
                <w:sz w:val="19"/>
                <w:szCs w:val="19"/>
              </w:rPr>
              <w:t>Automated PII scanning &amp; masking</w:t>
            </w:r>
          </w:p>
        </w:tc>
      </w:tr>
    </w:tbl>
    <w:p w14:paraId="5AC11A2D" w14:textId="77777777" w:rsidR="00FF27B6" w:rsidRDefault="00700A86">
      <w:pPr>
        <w:pStyle w:val="Heading1"/>
        <w:pageBreakBefore/>
      </w:pPr>
      <w:bookmarkStart w:id="1" w:name="sec2"/>
      <w:r>
        <w:t>2. High-Level Architecture</w:t>
      </w:r>
      <w:bookmarkEnd w:id="1"/>
    </w:p>
    <w:p w14:paraId="3D1618A6" w14:textId="77777777" w:rsidR="00FF27B6" w:rsidRDefault="00700A86">
      <w:pPr>
        <w:spacing w:after="120" w:line="276" w:lineRule="auto"/>
      </w:pPr>
      <w:r>
        <w:t>The Manga DataHub is organised into five core layers with three cross-cutting concerns and a clear separation between batch and streaming paths. This conceptual view is technology-agnostic; each decision is grounded in foundational cloud-analytics principles.</w:t>
      </w:r>
    </w:p>
    <w:p w14:paraId="13BC6C27" w14:textId="77777777" w:rsidR="00FF27B6" w:rsidRDefault="00700A86">
      <w:pPr>
        <w:pStyle w:val="Heading2"/>
      </w:pPr>
      <w:r>
        <w:t>Architectural Layers</w:t>
      </w:r>
    </w:p>
    <w:p w14:paraId="3E8DD176" w14:textId="77777777" w:rsidR="00FF27B6" w:rsidRDefault="00700A86">
      <w:pPr>
        <w:pStyle w:val="ListParagraph"/>
        <w:numPr>
          <w:ilvl w:val="0"/>
          <w:numId w:val="2"/>
        </w:numPr>
        <w:spacing w:after="60" w:line="276" w:lineRule="auto"/>
      </w:pPr>
      <w:r>
        <w:rPr>
          <w:b/>
          <w:bCs/>
        </w:rPr>
        <w:t>Data Sources</w:t>
      </w:r>
      <w:r>
        <w:t xml:space="preserve"> — POS/ERP transactional data, web &amp; mobile event streams, CRM/loyalty records, and external APIs spanning structured, semi-structured, and unstructured modalities.</w:t>
      </w:r>
    </w:p>
    <w:p w14:paraId="61A965AB" w14:textId="77777777" w:rsidR="00FF27B6" w:rsidRDefault="00700A86">
      <w:pPr>
        <w:pStyle w:val="ListParagraph"/>
        <w:numPr>
          <w:ilvl w:val="0"/>
          <w:numId w:val="2"/>
        </w:numPr>
        <w:spacing w:after="60" w:line="276" w:lineRule="auto"/>
      </w:pPr>
      <w:r>
        <w:rPr>
          <w:b/>
          <w:bCs/>
        </w:rPr>
        <w:t>Ingestion</w:t>
      </w:r>
      <w:r>
        <w:t xml:space="preserve"> — a streaming path for real-time events and a batch path for scheduled loads, plus a decoupled API-connector layer so new sources are added without touching existing pipelines.</w:t>
      </w:r>
    </w:p>
    <w:p w14:paraId="3AAE4E1A" w14:textId="77777777" w:rsidR="00FF27B6" w:rsidRDefault="00700A86">
      <w:pPr>
        <w:pStyle w:val="ListParagraph"/>
        <w:numPr>
          <w:ilvl w:val="0"/>
          <w:numId w:val="2"/>
        </w:numPr>
        <w:spacing w:after="60" w:line="276" w:lineRule="auto"/>
      </w:pPr>
      <w:r>
        <w:rPr>
          <w:b/>
          <w:bCs/>
        </w:rPr>
        <w:t>Storage — the Lakehouse</w:t>
      </w:r>
      <w:r>
        <w:t xml:space="preserve"> — a three-zone medallion model: Raw (immutable system of record), Curated (cleaned, validated, PII-masked), and Serving (pre-aggregated, query-optimised).</w:t>
      </w:r>
    </w:p>
    <w:p w14:paraId="4BF71463" w14:textId="77777777" w:rsidR="00FF27B6" w:rsidRDefault="00700A86">
      <w:pPr>
        <w:pStyle w:val="ListParagraph"/>
        <w:numPr>
          <w:ilvl w:val="0"/>
          <w:numId w:val="2"/>
        </w:numPr>
        <w:spacing w:after="60" w:line="276" w:lineRule="auto"/>
      </w:pPr>
      <w:r>
        <w:rPr>
          <w:b/>
          <w:bCs/>
        </w:rPr>
        <w:t>Processing</w:t>
      </w:r>
      <w:r>
        <w:t xml:space="preserve"> — distributed transformation, DAG-based orchestration replacing all cron jobs, automated post-pipeline data-quality checks, and a central catalog for lineage and discovery.</w:t>
      </w:r>
    </w:p>
    <w:p w14:paraId="60D5E4BE" w14:textId="77777777" w:rsidR="00FF27B6" w:rsidRDefault="00700A86">
      <w:pPr>
        <w:pStyle w:val="ListParagraph"/>
        <w:numPr>
          <w:ilvl w:val="0"/>
          <w:numId w:val="2"/>
        </w:numPr>
        <w:spacing w:after="60" w:line="276" w:lineRule="auto"/>
      </w:pPr>
      <w:r>
        <w:rPr>
          <w:b/>
          <w:bCs/>
        </w:rPr>
        <w:t>Consumption</w:t>
      </w:r>
      <w:r>
        <w:t xml:space="preserve"> — self-service BI dashboards, a managed ML environment with a feature store, and secure versioned APIs for partners and AI agents.</w:t>
      </w:r>
    </w:p>
    <w:p w14:paraId="08B53182" w14:textId="77777777" w:rsidR="00FF27B6" w:rsidRDefault="00700A86">
      <w:pPr>
        <w:pStyle w:val="Heading2"/>
      </w:pPr>
      <w:r>
        <w:t>Cross-Cutting Concerns</w:t>
      </w:r>
    </w:p>
    <w:p w14:paraId="2A38EB98" w14:textId="77777777" w:rsidR="00FF27B6" w:rsidRDefault="00700A86">
      <w:pPr>
        <w:spacing w:after="120" w:line="276" w:lineRule="auto"/>
      </w:pPr>
      <w:r>
        <w:t>Security &amp; Compliance (encryption, RBAC, PII detection, GDPR audit, threat detection), Infrastructure-as-Code &amp; Automation (version-controlled, three identical environments), and Cost &amp; Sustainability (auto-scaling, lifecycle archiving, per-service carbon tracking) apply across every layer — not as optional add-ons.</w:t>
      </w:r>
    </w:p>
    <w:p w14:paraId="64B2F5DE" w14:textId="77777777" w:rsidR="00FF27B6" w:rsidRDefault="00700A86">
      <w:pPr>
        <w:pStyle w:val="Heading2"/>
      </w:pPr>
      <w:r>
        <w:t>Design Principles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F27B6" w14:paraId="258A5852"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08F22B6" w14:textId="77777777" w:rsidR="00FF27B6" w:rsidRDefault="00700A86">
            <w:r>
              <w:rPr>
                <w:b/>
                <w:bCs/>
                <w:color w:val="FFFFFF"/>
                <w:sz w:val="19"/>
                <w:szCs w:val="19"/>
              </w:rPr>
              <w:t>Principle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E336A85" w14:textId="77777777" w:rsidR="00FF27B6" w:rsidRDefault="00700A86">
            <w:r>
              <w:rPr>
                <w:b/>
                <w:bCs/>
                <w:color w:val="FFFFFF"/>
                <w:sz w:val="19"/>
                <w:szCs w:val="19"/>
              </w:rPr>
              <w:t>Application in Manga DataHub</w:t>
            </w:r>
          </w:p>
        </w:tc>
      </w:tr>
      <w:tr w:rsidR="00FF27B6" w14:paraId="0A1F24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6AF9C3" w14:textId="77777777" w:rsidR="00FF27B6" w:rsidRDefault="00700A86">
            <w:r>
              <w:rPr>
                <w:sz w:val="19"/>
                <w:szCs w:val="19"/>
              </w:rPr>
              <w:t>Separation of Concerns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FC7B9D" w14:textId="77777777" w:rsidR="00FF27B6" w:rsidRDefault="00700A86">
            <w:r>
              <w:rPr>
                <w:sz w:val="19"/>
                <w:szCs w:val="19"/>
              </w:rPr>
              <w:t>Each layer has a single responsibility; storage is decoupled from compute.</w:t>
            </w:r>
          </w:p>
        </w:tc>
      </w:tr>
      <w:tr w:rsidR="00FF27B6" w14:paraId="65F50D3C"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7CFF22B" w14:textId="77777777" w:rsidR="00FF27B6" w:rsidRDefault="00700A86">
            <w:r>
              <w:rPr>
                <w:sz w:val="19"/>
                <w:szCs w:val="19"/>
              </w:rPr>
              <w:t>Modularity</w:t>
            </w:r>
          </w:p>
        </w:tc>
        <w:tc>
          <w:tcPr>
            <w:tcW w:w="6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2F8A413A" w14:textId="77777777" w:rsidR="00FF27B6" w:rsidRDefault="00700A86">
            <w:r>
              <w:rPr>
                <w:sz w:val="19"/>
                <w:szCs w:val="19"/>
              </w:rPr>
              <w:t>New sources, jobs, and models are isolated modules — a failure in one does not cascade.</w:t>
            </w:r>
          </w:p>
        </w:tc>
      </w:tr>
      <w:tr w:rsidR="00FF27B6" w14:paraId="161082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09955C" w14:textId="77777777" w:rsidR="00FF27B6" w:rsidRDefault="00700A86">
            <w:r>
              <w:rPr>
                <w:sz w:val="19"/>
                <w:szCs w:val="19"/>
              </w:rPr>
              <w:t>Elasticity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B3A6BD" w14:textId="77777777" w:rsidR="00FF27B6" w:rsidRDefault="00700A86">
            <w:r>
              <w:rPr>
                <w:sz w:val="19"/>
                <w:szCs w:val="19"/>
              </w:rPr>
              <w:t>Compute scales automatically; a Fashion-Week spike needs no manual intervention.</w:t>
            </w:r>
          </w:p>
        </w:tc>
      </w:tr>
      <w:tr w:rsidR="00FF27B6" w14:paraId="106307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127D2390" w14:textId="77777777" w:rsidR="00FF27B6" w:rsidRDefault="00700A86">
            <w:r>
              <w:rPr>
                <w:sz w:val="19"/>
                <w:szCs w:val="19"/>
              </w:rPr>
              <w:t>Scalability</w:t>
            </w:r>
          </w:p>
        </w:tc>
        <w:tc>
          <w:tcPr>
            <w:tcW w:w="6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5C9F904" w14:textId="77777777" w:rsidR="00FF27B6" w:rsidRDefault="00700A86">
            <w:r>
              <w:rPr>
                <w:sz w:val="19"/>
                <w:szCs w:val="19"/>
              </w:rPr>
              <w:t>Handles current volumes and the 10× growth from international expansion.</w:t>
            </w:r>
          </w:p>
        </w:tc>
      </w:tr>
      <w:tr w:rsidR="00FF27B6" w14:paraId="2F9FD0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10E1E5" w14:textId="77777777" w:rsidR="00FF27B6" w:rsidRDefault="00700A86">
            <w:r>
              <w:rPr>
                <w:sz w:val="19"/>
                <w:szCs w:val="19"/>
              </w:rPr>
              <w:t>Open Standards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B6E5EF" w14:textId="77777777" w:rsidR="00FF27B6" w:rsidRDefault="00700A86">
            <w:r>
              <w:rPr>
                <w:sz w:val="19"/>
                <w:szCs w:val="19"/>
              </w:rPr>
              <w:t>Parquet, Airflow, Spark — open formats and tooling at every layer; no lock-in.</w:t>
            </w:r>
          </w:p>
        </w:tc>
      </w:tr>
    </w:tbl>
    <w:p w14:paraId="21030E38" w14:textId="77777777" w:rsidR="00FF27B6" w:rsidRDefault="00700A86">
      <w:pPr>
        <w:spacing w:before="100" w:after="40"/>
        <w:jc w:val="center"/>
      </w:pPr>
      <w:r>
        <w:rPr>
          <w:noProof/>
        </w:rPr>
        <w:drawing>
          <wp:inline distT="0" distB="0" distL="0" distR="0" wp14:anchorId="41FD0D1E" wp14:editId="23ED0ED1">
            <wp:extent cx="3429000" cy="5781675"/>
            <wp:effectExtent l="0" t="0" r="0" b="0"/>
            <wp:docPr id="1" name="Figure 1 — High-Level Architecture (technology-agnostic)." descr="Figure 1 — High-Level Architecture (technology-agnostic)." title="Figure 1 — High-Level Architecture (technology-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5781675"/>
                    </a:xfrm>
                    <a:prstGeom prst="rect">
                      <a:avLst/>
                    </a:prstGeom>
                  </pic:spPr>
                </pic:pic>
              </a:graphicData>
            </a:graphic>
          </wp:inline>
        </w:drawing>
      </w:r>
    </w:p>
    <w:p w14:paraId="0D453E15" w14:textId="77777777" w:rsidR="00FF27B6" w:rsidRDefault="00700A86">
      <w:pPr>
        <w:spacing w:after="160"/>
        <w:jc w:val="center"/>
      </w:pPr>
      <w:r>
        <w:rPr>
          <w:i/>
          <w:iCs/>
          <w:color w:val="595959"/>
          <w:sz w:val="17"/>
          <w:szCs w:val="17"/>
        </w:rPr>
        <w:t>Figure 1 — High-Level Architecture (technology-agnostic).</w:t>
      </w:r>
    </w:p>
    <w:p w14:paraId="346B66E6" w14:textId="77777777" w:rsidR="00FF27B6" w:rsidRDefault="00700A86">
      <w:pPr>
        <w:pStyle w:val="Heading1"/>
        <w:pageBreakBefore/>
      </w:pPr>
      <w:bookmarkStart w:id="2" w:name="sec3"/>
      <w:r>
        <w:t>3. Low-Level Architecture</w:t>
      </w:r>
      <w:bookmarkEnd w:id="2"/>
    </w:p>
    <w:p w14:paraId="17575309" w14:textId="77777777" w:rsidR="00FF27B6" w:rsidRDefault="00700A86">
      <w:pPr>
        <w:spacing w:after="120" w:line="276" w:lineRule="auto"/>
      </w:pPr>
      <w:r>
        <w:t>The conceptual layers map to specific AWS services, each chosen for performance, operational reliability, cost model, and requirement fit.</w:t>
      </w:r>
    </w:p>
    <w:p w14:paraId="0C192CB5" w14:textId="77777777" w:rsidR="00FF27B6" w:rsidRDefault="00700A86">
      <w:pPr>
        <w:pStyle w:val="Heading2"/>
      </w:pPr>
      <w:r>
        <w:t>Ingestion</w:t>
      </w:r>
    </w:p>
    <w:p w14:paraId="3CD4C437" w14:textId="77777777" w:rsidR="00FF27B6" w:rsidRDefault="00700A86">
      <w:pPr>
        <w:pStyle w:val="ListParagraph"/>
        <w:numPr>
          <w:ilvl w:val="0"/>
          <w:numId w:val="2"/>
        </w:numPr>
        <w:spacing w:after="60" w:line="276" w:lineRule="auto"/>
      </w:pPr>
      <w:r>
        <w:rPr>
          <w:b/>
          <w:bCs/>
        </w:rPr>
        <w:t>Amazon Kinesis Data Streams + Firehose</w:t>
      </w:r>
      <w:r>
        <w:t xml:space="preserve"> — sub-second ingestion of POS and web events; Firehose delivers micro-batches to S3 in Parquet (R1, R3).</w:t>
      </w:r>
    </w:p>
    <w:p w14:paraId="49784F1E" w14:textId="77777777" w:rsidR="00FF27B6" w:rsidRDefault="00700A86">
      <w:pPr>
        <w:pStyle w:val="ListParagraph"/>
        <w:numPr>
          <w:ilvl w:val="0"/>
          <w:numId w:val="2"/>
        </w:numPr>
        <w:spacing w:after="60" w:line="276" w:lineRule="auto"/>
      </w:pPr>
      <w:r>
        <w:rPr>
          <w:b/>
          <w:bCs/>
        </w:rPr>
        <w:t>AWS Glue ETL</w:t>
      </w:r>
      <w:r>
        <w:t xml:space="preserve"> — managed Spark replacing hand-coded batch scripts; job bookmarks prevent duplicate processing (R1, R3).</w:t>
      </w:r>
    </w:p>
    <w:p w14:paraId="27800346" w14:textId="77777777" w:rsidR="00FF27B6" w:rsidRDefault="00700A86">
      <w:pPr>
        <w:pStyle w:val="ListParagraph"/>
        <w:numPr>
          <w:ilvl w:val="0"/>
          <w:numId w:val="2"/>
        </w:numPr>
        <w:spacing w:after="60" w:line="276" w:lineRule="auto"/>
      </w:pPr>
      <w:r>
        <w:rPr>
          <w:b/>
          <w:bCs/>
        </w:rPr>
        <w:t>AWS Lambda + EventBridge</w:t>
      </w:r>
      <w:r>
        <w:t xml:space="preserve"> — serverless connectors for third-party APIs; new sources are new functions, no pipeline changes (R7).</w:t>
      </w:r>
    </w:p>
    <w:p w14:paraId="750A51F1" w14:textId="77777777" w:rsidR="00FF27B6" w:rsidRDefault="00700A86">
      <w:pPr>
        <w:pStyle w:val="ListParagraph"/>
        <w:numPr>
          <w:ilvl w:val="0"/>
          <w:numId w:val="2"/>
        </w:numPr>
        <w:spacing w:after="60" w:line="276" w:lineRule="auto"/>
      </w:pPr>
      <w:r>
        <w:rPr>
          <w:b/>
          <w:bCs/>
        </w:rPr>
        <w:t>AWS DMS</w:t>
      </w:r>
      <w:r>
        <w:t xml:space="preserve"> — one-time historical migration plus CDC replication for zero-loss cutover (R3, R4).</w:t>
      </w:r>
    </w:p>
    <w:p w14:paraId="27F68FA0" w14:textId="77777777" w:rsidR="00FF27B6" w:rsidRDefault="00700A86">
      <w:pPr>
        <w:pStyle w:val="Heading2"/>
      </w:pPr>
      <w:r>
        <w:t>Storage</w:t>
      </w:r>
    </w:p>
    <w:p w14:paraId="38F0B761" w14:textId="77777777" w:rsidR="00FF27B6" w:rsidRDefault="00700A86">
      <w:pPr>
        <w:pStyle w:val="ListParagraph"/>
        <w:numPr>
          <w:ilvl w:val="0"/>
          <w:numId w:val="2"/>
        </w:numPr>
        <w:spacing w:after="60" w:line="276" w:lineRule="auto"/>
      </w:pPr>
      <w:r>
        <w:rPr>
          <w:b/>
          <w:bCs/>
        </w:rPr>
        <w:t>Amazon S3 — three-zone lakehouse</w:t>
      </w:r>
      <w:r>
        <w:t xml:space="preserve"> — Raw, Curated (PII-masked Parquet), Serving; Intelligent-Tiering cuts cold-storage cost; open format means zero lock-in (R1, R6).</w:t>
      </w:r>
    </w:p>
    <w:p w14:paraId="05B7DE4E" w14:textId="77777777" w:rsidR="00FF27B6" w:rsidRDefault="00700A86">
      <w:pPr>
        <w:pStyle w:val="ListParagraph"/>
        <w:numPr>
          <w:ilvl w:val="0"/>
          <w:numId w:val="2"/>
        </w:numPr>
        <w:spacing w:after="60" w:line="276" w:lineRule="auto"/>
      </w:pPr>
      <w:r>
        <w:rPr>
          <w:b/>
          <w:bCs/>
        </w:rPr>
        <w:t>Amazon Redshift</w:t>
      </w:r>
      <w:r>
        <w:t xml:space="preserve"> — columnar warehouse; Spectrum queries S3 directly; RA3 decouples compute and storage (R1, R6).</w:t>
      </w:r>
    </w:p>
    <w:p w14:paraId="79D8168C" w14:textId="77777777" w:rsidR="00FF27B6" w:rsidRDefault="00700A86">
      <w:pPr>
        <w:pStyle w:val="ListParagraph"/>
        <w:numPr>
          <w:ilvl w:val="0"/>
          <w:numId w:val="2"/>
        </w:numPr>
        <w:spacing w:after="60" w:line="276" w:lineRule="auto"/>
      </w:pPr>
      <w:r>
        <w:rPr>
          <w:b/>
          <w:bCs/>
        </w:rPr>
        <w:t>Amazon DynamoDB</w:t>
      </w:r>
      <w:r>
        <w:t xml:space="preserve"> — sub-10ms lookups for ML inference and the virtual shopping assistant (R1, R7).</w:t>
      </w:r>
    </w:p>
    <w:p w14:paraId="71E5EC3F" w14:textId="77777777" w:rsidR="00FF27B6" w:rsidRDefault="00700A86">
      <w:pPr>
        <w:pStyle w:val="Heading2"/>
      </w:pPr>
      <w:r>
        <w:t>Processing &amp; Governance</w:t>
      </w:r>
    </w:p>
    <w:p w14:paraId="1CA5229A" w14:textId="77777777" w:rsidR="00FF27B6" w:rsidRDefault="00700A86">
      <w:pPr>
        <w:pStyle w:val="ListParagraph"/>
        <w:numPr>
          <w:ilvl w:val="0"/>
          <w:numId w:val="2"/>
        </w:numPr>
        <w:spacing w:after="60" w:line="276" w:lineRule="auto"/>
      </w:pPr>
      <w:r>
        <w:rPr>
          <w:b/>
          <w:bCs/>
        </w:rPr>
        <w:t>Glue Data Catalog</w:t>
      </w:r>
      <w:r>
        <w:t xml:space="preserve">, </w:t>
      </w:r>
      <w:r>
        <w:rPr>
          <w:b/>
          <w:bCs/>
        </w:rPr>
        <w:t>Amazon MWAA</w:t>
      </w:r>
      <w:r>
        <w:t xml:space="preserve"> (Airflow orchestration replacing cron), </w:t>
      </w:r>
      <w:r>
        <w:rPr>
          <w:b/>
          <w:bCs/>
        </w:rPr>
        <w:t>Glue Data Quality</w:t>
      </w:r>
      <w:r>
        <w:t xml:space="preserve">, </w:t>
      </w:r>
      <w:r>
        <w:rPr>
          <w:b/>
          <w:bCs/>
        </w:rPr>
        <w:t>Lake Formation</w:t>
      </w:r>
      <w:r>
        <w:t xml:space="preserve"> (column/row RBAC, GDPR), and </w:t>
      </w:r>
      <w:r>
        <w:rPr>
          <w:b/>
          <w:bCs/>
        </w:rPr>
        <w:t>Amazon Macie</w:t>
      </w:r>
      <w:r>
        <w:t xml:space="preserve"> (ML-powered PII scanning).</w:t>
      </w:r>
    </w:p>
    <w:p w14:paraId="062D2F36" w14:textId="77777777" w:rsidR="00FF27B6" w:rsidRDefault="00700A86">
      <w:pPr>
        <w:pStyle w:val="Heading2"/>
      </w:pPr>
      <w:r>
        <w:t>Consumption &amp; Cross-Cutting</w:t>
      </w:r>
    </w:p>
    <w:p w14:paraId="0E78E61D" w14:textId="77777777" w:rsidR="00FF27B6" w:rsidRDefault="00700A86">
      <w:pPr>
        <w:pStyle w:val="ListParagraph"/>
        <w:numPr>
          <w:ilvl w:val="0"/>
          <w:numId w:val="2"/>
        </w:numPr>
        <w:spacing w:after="60" w:line="276" w:lineRule="auto"/>
      </w:pPr>
      <w:r>
        <w:rPr>
          <w:b/>
          <w:bCs/>
        </w:rPr>
        <w:t xml:space="preserve">Consumption: </w:t>
      </w:r>
      <w:r>
        <w:t>QuickSight (BI), SageMaker (ML), Comprehend (NLP sentiment), Athena (serverless SQL), API Gateway + Lambda (versioned external APIs).</w:t>
      </w:r>
    </w:p>
    <w:p w14:paraId="4F20A28D" w14:textId="77777777" w:rsidR="00FF27B6" w:rsidRDefault="00700A86">
      <w:pPr>
        <w:pStyle w:val="ListParagraph"/>
        <w:numPr>
          <w:ilvl w:val="0"/>
          <w:numId w:val="2"/>
        </w:numPr>
        <w:spacing w:after="60" w:line="276" w:lineRule="auto"/>
      </w:pPr>
      <w:r>
        <w:rPr>
          <w:b/>
          <w:bCs/>
        </w:rPr>
        <w:t xml:space="preserve">Cross-cutting: </w:t>
      </w:r>
      <w:r>
        <w:t>IAM + KMS (TLS 1.3, encryption at rest), Terraform/CDK (IaC), CloudWatch + SNS (monitoring), AWS Organizations (isolated accounts), Carbon Footprint Tool (R8).</w:t>
      </w:r>
    </w:p>
    <w:p w14:paraId="3208E805" w14:textId="77777777" w:rsidR="00FF27B6" w:rsidRDefault="00700A86">
      <w:pPr>
        <w:spacing w:before="100" w:after="40"/>
        <w:jc w:val="center"/>
      </w:pPr>
      <w:r>
        <w:rPr>
          <w:noProof/>
        </w:rPr>
        <w:drawing>
          <wp:inline distT="0" distB="0" distL="0" distR="0" wp14:anchorId="585E3660" wp14:editId="3158E189">
            <wp:extent cx="5476875" cy="5810250"/>
            <wp:effectExtent l="0" t="0" r="0" b="0"/>
            <wp:docPr id="1771753312" name="Figure 2 — Low-Level Architecture mapped to AWS services." descr="Figure 2 — Low-Level Architecture mapped to AWS services." title="Figure 2 — Low-Level Architecture mapped to AW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5810250"/>
                    </a:xfrm>
                    <a:prstGeom prst="rect">
                      <a:avLst/>
                    </a:prstGeom>
                  </pic:spPr>
                </pic:pic>
              </a:graphicData>
            </a:graphic>
          </wp:inline>
        </w:drawing>
      </w:r>
    </w:p>
    <w:p w14:paraId="1AB9D7C4" w14:textId="77777777" w:rsidR="00FF27B6" w:rsidRDefault="00700A86">
      <w:pPr>
        <w:spacing w:after="160"/>
        <w:jc w:val="center"/>
      </w:pPr>
      <w:r>
        <w:rPr>
          <w:i/>
          <w:iCs/>
          <w:color w:val="595959"/>
          <w:sz w:val="17"/>
          <w:szCs w:val="17"/>
        </w:rPr>
        <w:t>Figure 2 — Low-Level Architecture mapped to AWS services.</w:t>
      </w:r>
    </w:p>
    <w:p w14:paraId="66974CC6" w14:textId="77777777" w:rsidR="00FF27B6" w:rsidRDefault="00700A86">
      <w:pPr>
        <w:pStyle w:val="Heading1"/>
        <w:pageBreakBefore/>
      </w:pPr>
      <w:bookmarkStart w:id="3" w:name="sec4"/>
      <w:r>
        <w:t>4. Project Implementation</w:t>
      </w:r>
      <w:bookmarkEnd w:id="3"/>
    </w:p>
    <w:p w14:paraId="55692836" w14:textId="77777777" w:rsidR="00FF27B6" w:rsidRDefault="00700A86">
      <w:pPr>
        <w:pStyle w:val="Heading2"/>
      </w:pPr>
      <w:r>
        <w:t>Requirements Traceability (R1–R8)</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2700"/>
        <w:gridCol w:w="5900"/>
      </w:tblGrid>
      <w:tr w:rsidR="00FF27B6" w14:paraId="74E77D43" w14:textId="77777777">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E38891E" w14:textId="77777777" w:rsidR="00FF27B6" w:rsidRDefault="00700A86">
            <w:r>
              <w:rPr>
                <w:b/>
                <w:bCs/>
                <w:color w:val="FFFFFF"/>
                <w:sz w:val="19"/>
                <w:szCs w:val="19"/>
              </w:rPr>
              <w:t>Req.</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9F11426" w14:textId="77777777" w:rsidR="00FF27B6" w:rsidRDefault="00700A86">
            <w:r>
              <w:rPr>
                <w:b/>
                <w:bCs/>
                <w:color w:val="FFFFFF"/>
                <w:sz w:val="19"/>
                <w:szCs w:val="19"/>
              </w:rPr>
              <w:t>Requirement</w:t>
            </w:r>
          </w:p>
        </w:tc>
        <w:tc>
          <w:tcPr>
            <w:tcW w:w="5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09EBDE3" w14:textId="77777777" w:rsidR="00FF27B6" w:rsidRDefault="00700A86">
            <w:r>
              <w:rPr>
                <w:b/>
                <w:bCs/>
                <w:color w:val="FFFFFF"/>
                <w:sz w:val="19"/>
                <w:szCs w:val="19"/>
              </w:rPr>
              <w:t>How it is addressed</w:t>
            </w:r>
          </w:p>
        </w:tc>
      </w:tr>
      <w:tr w:rsidR="00FF27B6" w14:paraId="215C4BCE" w14:textId="77777777">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BD5E56" w14:textId="77777777" w:rsidR="00FF27B6" w:rsidRDefault="00700A86">
            <w:r>
              <w:rPr>
                <w:sz w:val="19"/>
                <w:szCs w:val="19"/>
              </w:rPr>
              <w:t>R1</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D8F1C4" w14:textId="77777777" w:rsidR="00FF27B6" w:rsidRDefault="00700A86">
            <w:r>
              <w:rPr>
                <w:sz w:val="19"/>
                <w:szCs w:val="19"/>
              </w:rPr>
              <w:t>Unified multi-modal platform</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3BFD506" w14:textId="77777777" w:rsidR="00FF27B6" w:rsidRDefault="00700A86">
            <w:r>
              <w:rPr>
                <w:sz w:val="19"/>
                <w:szCs w:val="19"/>
              </w:rPr>
              <w:t>S3 lakehouse + Redshift + DynamoDB store all data modalities; Kinesis (streaming) and Glue (batch); a single Glue Catalog provides unified access.</w:t>
            </w:r>
          </w:p>
        </w:tc>
      </w:tr>
      <w:tr w:rsidR="00FF27B6" w14:paraId="5853069F" w14:textId="77777777">
        <w:tc>
          <w:tcPr>
            <w:tcW w:w="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CD4E4CA" w14:textId="77777777" w:rsidR="00FF27B6" w:rsidRDefault="00700A86">
            <w:r>
              <w:rPr>
                <w:sz w:val="19"/>
                <w:szCs w:val="19"/>
              </w:rPr>
              <w:t>R2</w:t>
            </w:r>
          </w:p>
        </w:tc>
        <w:tc>
          <w:tcPr>
            <w:tcW w:w="27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3E5A1A1C" w14:textId="77777777" w:rsidR="00FF27B6" w:rsidRDefault="00700A86">
            <w:r>
              <w:rPr>
                <w:sz w:val="19"/>
                <w:szCs w:val="19"/>
              </w:rPr>
              <w:t>Multi-environment setup</w:t>
            </w:r>
          </w:p>
        </w:tc>
        <w:tc>
          <w:tcPr>
            <w:tcW w:w="59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21A88069" w14:textId="77777777" w:rsidR="00FF27B6" w:rsidRDefault="00700A86">
            <w:r>
              <w:rPr>
                <w:sz w:val="19"/>
                <w:szCs w:val="19"/>
              </w:rPr>
              <w:t>AWS Organizations provisions Dev / Pre-Prod / Prod from identical Terraform templates; Glue masking + Lake Formation replicate anonymised samples to non-prod.</w:t>
            </w:r>
          </w:p>
        </w:tc>
      </w:tr>
      <w:tr w:rsidR="00FF27B6" w14:paraId="38B52ECA" w14:textId="77777777">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31F0BC" w14:textId="77777777" w:rsidR="00FF27B6" w:rsidRDefault="00700A86">
            <w:r>
              <w:rPr>
                <w:sz w:val="19"/>
                <w:szCs w:val="19"/>
              </w:rPr>
              <w:t>R3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ED1027" w14:textId="77777777" w:rsidR="00FF27B6" w:rsidRDefault="00700A86">
            <w:r>
              <w:rPr>
                <w:sz w:val="19"/>
                <w:szCs w:val="19"/>
              </w:rPr>
              <w:t>Automation &amp; IaC</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914FF4" w14:textId="77777777" w:rsidR="00FF27B6" w:rsidRDefault="00700A86">
            <w:r>
              <w:rPr>
                <w:sz w:val="19"/>
                <w:szCs w:val="19"/>
              </w:rPr>
              <w:t>MWAA replaces cron with monitored DAGs; Terraform/CDK automates infrastructure; Glue bookmarks and S3 lifecycle policies automate the data lifecycle.</w:t>
            </w:r>
          </w:p>
        </w:tc>
      </w:tr>
      <w:tr w:rsidR="00FF27B6" w14:paraId="3B10336E" w14:textId="77777777">
        <w:tc>
          <w:tcPr>
            <w:tcW w:w="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19D0CB7C" w14:textId="77777777" w:rsidR="00FF27B6" w:rsidRDefault="00700A86">
            <w:r>
              <w:rPr>
                <w:sz w:val="19"/>
                <w:szCs w:val="19"/>
              </w:rPr>
              <w:t>R4</w:t>
            </w:r>
          </w:p>
        </w:tc>
        <w:tc>
          <w:tcPr>
            <w:tcW w:w="27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A1B0E30" w14:textId="77777777" w:rsidR="00FF27B6" w:rsidRDefault="00700A86">
            <w:r>
              <w:rPr>
                <w:sz w:val="19"/>
                <w:szCs w:val="19"/>
              </w:rPr>
              <w:t>Security &amp; high availability</w:t>
            </w:r>
          </w:p>
        </w:tc>
        <w:tc>
          <w:tcPr>
            <w:tcW w:w="59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AFC45D7" w14:textId="77777777" w:rsidR="00FF27B6" w:rsidRDefault="00700A86">
            <w:r>
              <w:rPr>
                <w:sz w:val="19"/>
                <w:szCs w:val="19"/>
              </w:rPr>
              <w:t>IAM least-privilege, KMS encryption, Lake Formation RBAC, Macie PII scanning, CloudTrail audit, multi-AZ; target 99.9% uptime.</w:t>
            </w:r>
          </w:p>
        </w:tc>
      </w:tr>
      <w:tr w:rsidR="00FF27B6" w14:paraId="135B5965" w14:textId="77777777">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91D335" w14:textId="77777777" w:rsidR="00FF27B6" w:rsidRDefault="00700A86">
            <w:r>
              <w:rPr>
                <w:sz w:val="19"/>
                <w:szCs w:val="19"/>
              </w:rPr>
              <w:t>R5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6086B3" w14:textId="77777777" w:rsidR="00FF27B6" w:rsidRDefault="00700A86">
            <w:r>
              <w:rPr>
                <w:sz w:val="19"/>
                <w:szCs w:val="19"/>
              </w:rPr>
              <w:t>Data quality</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1C50FB" w14:textId="77777777" w:rsidR="00FF27B6" w:rsidRDefault="00700A86">
            <w:r>
              <w:rPr>
                <w:sz w:val="19"/>
                <w:szCs w:val="19"/>
              </w:rPr>
              <w:t>Glue Data Quality rules run post-pipeline; failures trigger CloudWatch/SNS alerts before bad data reaches consumers.</w:t>
            </w:r>
          </w:p>
        </w:tc>
      </w:tr>
      <w:tr w:rsidR="00FF27B6" w14:paraId="2EF19950" w14:textId="77777777">
        <w:tc>
          <w:tcPr>
            <w:tcW w:w="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3281319D" w14:textId="77777777" w:rsidR="00FF27B6" w:rsidRDefault="00700A86">
            <w:r>
              <w:rPr>
                <w:sz w:val="19"/>
                <w:szCs w:val="19"/>
              </w:rPr>
              <w:t>R6</w:t>
            </w:r>
          </w:p>
        </w:tc>
        <w:tc>
          <w:tcPr>
            <w:tcW w:w="27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21592E2D" w14:textId="77777777" w:rsidR="00FF27B6" w:rsidRDefault="00700A86">
            <w:r>
              <w:rPr>
                <w:sz w:val="19"/>
                <w:szCs w:val="19"/>
              </w:rPr>
              <w:t>Cost optimisation</w:t>
            </w:r>
          </w:p>
        </w:tc>
        <w:tc>
          <w:tcPr>
            <w:tcW w:w="59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54D3B87" w14:textId="77777777" w:rsidR="00FF27B6" w:rsidRDefault="00700A86">
            <w:r>
              <w:rPr>
                <w:sz w:val="19"/>
                <w:szCs w:val="19"/>
              </w:rPr>
              <w:t>Pay-per-use vs. fixed colocation; Intelligent-Tiering, Spot Glue, Redshift RIs, QuickSight per-session — projected 40–60% reduction (see figure).</w:t>
            </w:r>
          </w:p>
        </w:tc>
      </w:tr>
      <w:tr w:rsidR="00FF27B6" w14:paraId="27CDD3F2" w14:textId="77777777">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9361DD" w14:textId="77777777" w:rsidR="00FF27B6" w:rsidRDefault="00700A86">
            <w:r>
              <w:rPr>
                <w:sz w:val="19"/>
                <w:szCs w:val="19"/>
              </w:rPr>
              <w:t>R7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1E1FEC" w14:textId="77777777" w:rsidR="00FF27B6" w:rsidRDefault="00700A86">
            <w:r>
              <w:rPr>
                <w:sz w:val="19"/>
                <w:szCs w:val="19"/>
              </w:rPr>
              <w:t>Extensibility &amp; interoperability</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BB62E5" w14:textId="77777777" w:rsidR="00FF27B6" w:rsidRDefault="00700A86">
            <w:r>
              <w:rPr>
                <w:sz w:val="19"/>
                <w:szCs w:val="19"/>
              </w:rPr>
              <w:t>Decoupled Lambda connectors, API Gateway, open Parquet/Airflow formats, and versioned APIs for backward compatibility.</w:t>
            </w:r>
          </w:p>
        </w:tc>
      </w:tr>
      <w:tr w:rsidR="00FF27B6" w14:paraId="6A23FAE8" w14:textId="77777777">
        <w:tc>
          <w:tcPr>
            <w:tcW w:w="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1E48B2D9" w14:textId="77777777" w:rsidR="00FF27B6" w:rsidRDefault="00700A86">
            <w:r>
              <w:rPr>
                <w:sz w:val="19"/>
                <w:szCs w:val="19"/>
              </w:rPr>
              <w:t>R8</w:t>
            </w:r>
          </w:p>
        </w:tc>
        <w:tc>
          <w:tcPr>
            <w:tcW w:w="27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601F0B1" w14:textId="77777777" w:rsidR="00FF27B6" w:rsidRDefault="00700A86">
            <w:r>
              <w:rPr>
                <w:sz w:val="19"/>
                <w:szCs w:val="19"/>
              </w:rPr>
              <w:t>Sustainability</w:t>
            </w:r>
          </w:p>
        </w:tc>
        <w:tc>
          <w:tcPr>
            <w:tcW w:w="59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37BA98A" w14:textId="77777777" w:rsidR="00FF27B6" w:rsidRDefault="00700A86">
            <w:r>
              <w:rPr>
                <w:sz w:val="19"/>
                <w:szCs w:val="19"/>
              </w:rPr>
              <w:t>EU renewable-heavy regions; serverless and auto-scaling eliminate idle resources; Carbon Footprint Tool quantifies improvement.</w:t>
            </w:r>
          </w:p>
        </w:tc>
      </w:tr>
    </w:tbl>
    <w:p w14:paraId="015D8627" w14:textId="77777777" w:rsidR="00FF27B6" w:rsidRDefault="00700A86">
      <w:pPr>
        <w:pStyle w:val="Heading2"/>
      </w:pPr>
      <w:r>
        <w:t>Cost Impact</w:t>
      </w:r>
    </w:p>
    <w:p w14:paraId="7BF040E9" w14:textId="77777777" w:rsidR="00FF27B6" w:rsidRDefault="00700A86">
      <w:pPr>
        <w:spacing w:after="120" w:line="276" w:lineRule="auto"/>
      </w:pPr>
      <w:r>
        <w:t xml:space="preserve">Replacing the fixed colocation model with AWS pay-per-use is projected to reduce annual infrastructure cost by roughly </w:t>
      </w:r>
      <w:r>
        <w:rPr>
          <w:b/>
          <w:bCs/>
        </w:rPr>
        <w:t>57%</w:t>
      </w:r>
      <w:r>
        <w:t xml:space="preserve"> — from about </w:t>
      </w:r>
      <w:r>
        <w:rPr>
          <w:b/>
          <w:bCs/>
        </w:rPr>
        <w:t>€1.30M to €0.56M per year</w:t>
      </w:r>
      <w:r>
        <w:t xml:space="preserve">, saving on the order of </w:t>
      </w:r>
      <w:r>
        <w:rPr>
          <w:b/>
          <w:bCs/>
        </w:rPr>
        <w:t>€0.74M annually</w:t>
      </w:r>
      <w:r>
        <w:t>. The figure below breaks the saving down by category.</w:t>
      </w:r>
    </w:p>
    <w:p w14:paraId="4AF71412" w14:textId="77777777" w:rsidR="00FF27B6" w:rsidRDefault="00700A86">
      <w:pPr>
        <w:spacing w:before="60" w:after="60"/>
        <w:jc w:val="center"/>
      </w:pPr>
      <w:r>
        <w:rPr>
          <w:noProof/>
        </w:rPr>
        <w:drawing>
          <wp:inline distT="0" distB="0" distL="0" distR="0" wp14:anchorId="39D10462" wp14:editId="22A2059C">
            <wp:extent cx="5715000" cy="3524250"/>
            <wp:effectExtent l="0" t="0" r="0" b="0"/>
            <wp:docPr id="844208584" name="CostComparison" descr="Colocation vs AWS annual cost by category" title="Cos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03C9CB70" w14:textId="77777777" w:rsidR="00FF27B6" w:rsidRDefault="00700A86">
      <w:pPr>
        <w:spacing w:after="160"/>
        <w:jc w:val="center"/>
      </w:pPr>
      <w:r>
        <w:rPr>
          <w:i/>
          <w:iCs/>
          <w:color w:val="595959"/>
          <w:sz w:val="17"/>
          <w:szCs w:val="17"/>
        </w:rPr>
        <w:t>Figure 3 — Projected annual infrastructure cost: colocation vs. Manga DataHub (illustrative).</w:t>
      </w:r>
    </w:p>
    <w:p w14:paraId="6F8E3371" w14:textId="77777777" w:rsidR="00FF27B6" w:rsidRDefault="00700A86">
      <w:pPr>
        <w:pStyle w:val="Heading2"/>
      </w:pPr>
      <w:r>
        <w:t>Methodology &amp; Timeline</w:t>
      </w:r>
    </w:p>
    <w:p w14:paraId="3D587940" w14:textId="77777777" w:rsidR="00FF27B6" w:rsidRDefault="00700A86">
      <w:pPr>
        <w:spacing w:after="120" w:line="276" w:lineRule="auto"/>
      </w:pPr>
      <w:r>
        <w:t>CloudCore applies a DataOps methodology — iterative, test-driven, with CI for both pipelines and infrastructure code. Data contracts are validated between layers, and a quality gate blocks promotion from Curated to Serving until thresholds are met. Delivery runs across three phases over nine months.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F27B6" w14:paraId="5A2EF7B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6306831" w14:textId="77777777" w:rsidR="00FF27B6" w:rsidRDefault="00700A86">
            <w:r>
              <w:rPr>
                <w:b/>
                <w:bCs/>
                <w:color w:val="FFFFFF"/>
                <w:sz w:val="19"/>
                <w:szCs w:val="19"/>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A19CE69" w14:textId="77777777" w:rsidR="00FF27B6" w:rsidRDefault="00700A86">
            <w:r>
              <w:rPr>
                <w:b/>
                <w:bCs/>
                <w:color w:val="FFFFFF"/>
                <w:sz w:val="19"/>
                <w:szCs w:val="19"/>
              </w:rPr>
              <w:t>Months</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B1044E0" w14:textId="77777777" w:rsidR="00FF27B6" w:rsidRDefault="00700A86">
            <w:r>
              <w:rPr>
                <w:b/>
                <w:bCs/>
                <w:color w:val="FFFFFF"/>
                <w:sz w:val="19"/>
                <w:szCs w:val="19"/>
              </w:rPr>
              <w:t>Key milestone</w:t>
            </w:r>
          </w:p>
        </w:tc>
      </w:tr>
      <w:tr w:rsidR="00FF27B6" w14:paraId="3BA090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E276CE" w14:textId="77777777" w:rsidR="00FF27B6" w:rsidRDefault="00700A86">
            <w:r>
              <w:rPr>
                <w:sz w:val="19"/>
                <w:szCs w:val="19"/>
              </w:rPr>
              <w:t>1 · Foundation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F4ADAD" w14:textId="77777777" w:rsidR="00FF27B6" w:rsidRDefault="00700A86">
            <w:r>
              <w:rPr>
                <w:sz w:val="19"/>
                <w:szCs w:val="19"/>
              </w:rPr>
              <w:t>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B7B4D0" w14:textId="77777777" w:rsidR="00FF27B6" w:rsidRDefault="00700A86">
            <w:r>
              <w:rPr>
                <w:sz w:val="19"/>
                <w:szCs w:val="19"/>
              </w:rPr>
              <w:t>AWS account structure, Terraform baseline, Dev live, DMS migration, Catalog + MWAA, first batch pipelines.</w:t>
            </w:r>
          </w:p>
        </w:tc>
      </w:tr>
      <w:tr w:rsidR="00FF27B6" w14:paraId="43E5BE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19C6833B" w14:textId="77777777" w:rsidR="00FF27B6" w:rsidRDefault="00700A86">
            <w:r>
              <w:rPr>
                <w:sz w:val="19"/>
                <w:szCs w:val="19"/>
              </w:rPr>
              <w:t>2 · Build &amp; Validate</w:t>
            </w:r>
          </w:p>
        </w:tc>
        <w:tc>
          <w:tcPr>
            <w:tcW w:w="12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FA53337" w14:textId="77777777" w:rsidR="00FF27B6" w:rsidRDefault="00700A86">
            <w:r>
              <w:rPr>
                <w:sz w:val="19"/>
                <w:szCs w:val="19"/>
              </w:rPr>
              <w:t>4–6</w:t>
            </w:r>
          </w:p>
        </w:tc>
        <w:tc>
          <w:tcPr>
            <w:tcW w:w="57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2FAABB72" w14:textId="77777777" w:rsidR="00FF27B6" w:rsidRDefault="00700A86">
            <w:r>
              <w:rPr>
                <w:sz w:val="19"/>
                <w:szCs w:val="19"/>
              </w:rPr>
              <w:t>Pre-Prod live, Kinesis streaming, Glue DQ + Lake Formation, QuickSight replacing Excel, first ML model.</w:t>
            </w:r>
          </w:p>
        </w:tc>
      </w:tr>
      <w:tr w:rsidR="00FF27B6" w14:paraId="1EE7E3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CF2BDC" w14:textId="77777777" w:rsidR="00FF27B6" w:rsidRDefault="00700A86">
            <w:r>
              <w:rPr>
                <w:sz w:val="19"/>
                <w:szCs w:val="19"/>
              </w:rPr>
              <w:t>3 · Prod Cutover &amp; 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D27D0D" w14:textId="77777777" w:rsidR="00FF27B6" w:rsidRDefault="00700A86">
            <w:r>
              <w:rPr>
                <w:sz w:val="19"/>
                <w:szCs w:val="19"/>
              </w:rPr>
              <w:t>7–9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14254E" w14:textId="77777777" w:rsidR="00FF27B6" w:rsidRDefault="00700A86">
            <w:r>
              <w:rPr>
                <w:sz w:val="19"/>
                <w:szCs w:val="19"/>
              </w:rPr>
              <w:t>Production live, colocation decommissioned, recommendations + dynamic pricing live, security audit, handover.</w:t>
            </w:r>
          </w:p>
        </w:tc>
      </w:tr>
    </w:tbl>
    <w:p w14:paraId="40FE28AA" w14:textId="77777777" w:rsidR="00FF27B6" w:rsidRDefault="00700A86">
      <w:pPr>
        <w:pStyle w:val="Heading2"/>
      </w:pPr>
      <w:r>
        <w:t>Key Risks &amp; Mitigations</w:t>
      </w:r>
    </w:p>
    <w:p w14:paraId="716ACB69" w14:textId="77777777" w:rsidR="00FF27B6" w:rsidRDefault="00700A86">
      <w:pPr>
        <w:pStyle w:val="ListParagraph"/>
        <w:numPr>
          <w:ilvl w:val="0"/>
          <w:numId w:val="2"/>
        </w:numPr>
        <w:spacing w:after="60" w:line="276" w:lineRule="auto"/>
      </w:pPr>
      <w:r>
        <w:rPr>
          <w:b/>
          <w:bCs/>
        </w:rPr>
        <w:t>Migration data loss</w:t>
      </w:r>
      <w:r>
        <w:t xml:space="preserve"> — DMS CDC runs in parallel for 4 weeks; automated row-count and checksum reconciliation before cutover.</w:t>
      </w:r>
    </w:p>
    <w:p w14:paraId="290A6A31" w14:textId="77777777" w:rsidR="00FF27B6" w:rsidRDefault="00700A86">
      <w:pPr>
        <w:pStyle w:val="ListParagraph"/>
        <w:numPr>
          <w:ilvl w:val="0"/>
          <w:numId w:val="2"/>
        </w:numPr>
        <w:spacing w:after="60" w:line="276" w:lineRule="auto"/>
      </w:pPr>
      <w:r>
        <w:rPr>
          <w:b/>
          <w:bCs/>
        </w:rPr>
        <w:t>Vendor lock-in (CTO)</w:t>
      </w:r>
      <w:r>
        <w:t xml:space="preserve"> — open-source tooling at every layer; architecture documented as cloud-portable.</w:t>
      </w:r>
    </w:p>
    <w:p w14:paraId="0F9894C6" w14:textId="77777777" w:rsidR="00FF27B6" w:rsidRDefault="00700A86">
      <w:pPr>
        <w:pStyle w:val="ListParagraph"/>
        <w:numPr>
          <w:ilvl w:val="0"/>
          <w:numId w:val="2"/>
        </w:numPr>
        <w:spacing w:after="60" w:line="276" w:lineRule="auto"/>
      </w:pPr>
      <w:r>
        <w:rPr>
          <w:b/>
          <w:bCs/>
        </w:rPr>
        <w:t>GDPR non-compliance</w:t>
      </w:r>
      <w:r>
        <w:t xml:space="preserve"> — Lake Formation + Macie in Phase 1; a DPIA completed before any personal data enters the platform.</w:t>
      </w:r>
    </w:p>
    <w:p w14:paraId="6B902188" w14:textId="77777777" w:rsidR="00FF27B6" w:rsidRDefault="00700A86">
      <w:pPr>
        <w:pStyle w:val="Heading1"/>
        <w:pageBreakBefore/>
      </w:pPr>
      <w:bookmarkStart w:id="4" w:name="sec5"/>
      <w:r>
        <w:t>5. Sample Use Cases</w:t>
      </w:r>
      <w:bookmarkEnd w:id="4"/>
    </w:p>
    <w:p w14:paraId="136341B0" w14:textId="77777777" w:rsidR="00FF27B6" w:rsidRDefault="00700A86">
      <w:pPr>
        <w:spacing w:after="120" w:line="276" w:lineRule="auto"/>
      </w:pPr>
      <w:r>
        <w:t>Three end-to-end use cases demonstrate the architecture using Manga's actual data sources, each spanning ingestion through business outcome.</w:t>
      </w:r>
    </w:p>
    <w:p w14:paraId="61DBCA56" w14:textId="77777777" w:rsidR="00FF27B6" w:rsidRDefault="00700A86">
      <w:pPr>
        <w:pStyle w:val="Heading2"/>
      </w:pPr>
      <w:r>
        <w:t>5.1 Demand Forecasting</w:t>
      </w:r>
    </w:p>
    <w:p w14:paraId="47EE376F" w14:textId="77777777" w:rsidR="00FF27B6" w:rsidRDefault="00700A86">
      <w:pPr>
        <w:spacing w:after="120" w:line="276" w:lineRule="auto"/>
      </w:pPr>
      <w:r>
        <w:t xml:space="preserve">Glue joins sales history with external factors (weather, holidays, events, campaigns); features land in a SageMaker Feature Store; DeepAR retrains weekly via an MWAA DAG, producing 7/14/28-day forecasts per SKU per store that drive automated replenishment. </w:t>
      </w:r>
      <w:r>
        <w:rPr>
          <w:b/>
          <w:bCs/>
        </w:rPr>
        <w:t>Projected impact: −30% stockouts, −20% overstock write-offs.</w:t>
      </w:r>
    </w:p>
    <w:p w14:paraId="18D17046" w14:textId="77777777" w:rsidR="00FF27B6" w:rsidRDefault="00700A86">
      <w:pPr>
        <w:pStyle w:val="Heading2"/>
      </w:pPr>
      <w:r>
        <w:t>5.2 Product Recommendation Engine</w:t>
      </w:r>
    </w:p>
    <w:p w14:paraId="35CCE3D4" w14:textId="77777777" w:rsidR="00FF27B6" w:rsidRDefault="00700A86">
      <w:pPr>
        <w:spacing w:after="120" w:line="276" w:lineRule="auto"/>
      </w:pPr>
      <w:r>
        <w:t xml:space="preserve">Real-time purchase events stream through Kinesis into a customer-product interaction matrix; SageMaker trains a collaborative-filtering model; results are filtered against live inventory (DynamoDB) and served via API Gateway at ≤5ms. </w:t>
      </w:r>
      <w:r>
        <w:rPr>
          <w:b/>
          <w:bCs/>
        </w:rPr>
        <w:t>Projected impact: +12–18% average order value.</w:t>
      </w:r>
    </w:p>
    <w:p w14:paraId="104D10EA" w14:textId="77777777" w:rsidR="00FF27B6" w:rsidRDefault="00700A86">
      <w:pPr>
        <w:pStyle w:val="Heading2"/>
      </w:pPr>
      <w:r>
        <w:t>5.3 Sentiment-Driven Merchandising</w:t>
      </w:r>
    </w:p>
    <w:p w14:paraId="778E8CC3" w14:textId="77777777" w:rsidR="00FF27B6" w:rsidRDefault="00700A86">
      <w:pPr>
        <w:spacing w:after="120" w:line="276" w:lineRule="auto"/>
      </w:pPr>
      <w:r>
        <w:t xml:space="preserve">Review events stream via Kinesis; Amazon Comprehend scores sentiment; Glue aggregates by product, store, and rolling 7-day window; QuickSight surfaces declining products and SNS alerts the buying team. </w:t>
      </w:r>
      <w:r>
        <w:rPr>
          <w:b/>
          <w:bCs/>
        </w:rPr>
        <w:t>Projected impact: 2–3 weeks' earlier warning on quality issues.</w:t>
      </w:r>
    </w:p>
    <w:p w14:paraId="32BB180A" w14:textId="77777777" w:rsidR="00FF27B6" w:rsidRDefault="00700A86">
      <w:pPr>
        <w:spacing w:after="120" w:line="276" w:lineRule="auto"/>
      </w:pPr>
      <w:r>
        <w:t xml:space="preserve">Two further use cases extend the same platform: a </w:t>
      </w:r>
      <w:r>
        <w:rPr>
          <w:b/>
          <w:bCs/>
        </w:rPr>
        <w:t>dynamic pricing engine</w:t>
      </w:r>
      <w:r>
        <w:t xml:space="preserve"> (+3–7% gross margin) and </w:t>
      </w:r>
      <w:r>
        <w:rPr>
          <w:b/>
          <w:bCs/>
        </w:rPr>
        <w:t>return-rate optimisation</w:t>
      </w:r>
      <w:r>
        <w:t xml:space="preserve"> (−10–15% return-processing cost).</w:t>
      </w:r>
    </w:p>
    <w:p w14:paraId="4E961392" w14:textId="77777777" w:rsidR="00FF27B6" w:rsidRDefault="00700A86">
      <w:pPr>
        <w:pStyle w:val="Heading1"/>
        <w:pageBreakBefore/>
      </w:pPr>
      <w:bookmarkStart w:id="5" w:name="sec6"/>
      <w:r>
        <w:t>6. Future Improvements</w:t>
      </w:r>
      <w:bookmarkEnd w:id="5"/>
    </w:p>
    <w:p w14:paraId="6E799D01" w14:textId="77777777" w:rsidR="00FF27B6" w:rsidRDefault="00700A86">
      <w:pPr>
        <w:pStyle w:val="Heading2"/>
      </w:pPr>
      <w:r>
        <w:t>Short-Term (Months 10–18)</w:t>
      </w:r>
    </w:p>
    <w:p w14:paraId="4A892ED1" w14:textId="77777777" w:rsidR="00FF27B6" w:rsidRDefault="00700A86">
      <w:pPr>
        <w:pStyle w:val="ListParagraph"/>
        <w:numPr>
          <w:ilvl w:val="0"/>
          <w:numId w:val="2"/>
        </w:numPr>
        <w:spacing w:after="60" w:line="276" w:lineRule="auto"/>
      </w:pPr>
      <w:r>
        <w:t>Real-time, session-level personalisation across web and in-store touchpoints (reuses Kinesis + DynamoDB).</w:t>
      </w:r>
    </w:p>
    <w:p w14:paraId="0BD5E0B8" w14:textId="77777777" w:rsidR="00FF27B6" w:rsidRDefault="00700A86">
      <w:pPr>
        <w:pStyle w:val="ListParagraph"/>
        <w:numPr>
          <w:ilvl w:val="0"/>
          <w:numId w:val="2"/>
        </w:numPr>
        <w:spacing w:after="60" w:line="276" w:lineRule="auto"/>
      </w:pPr>
      <w:r>
        <w:t>Supply-chain smart labels — RFID/smart-label streams for item-level inventory.</w:t>
      </w:r>
    </w:p>
    <w:p w14:paraId="271AAFB0" w14:textId="77777777" w:rsidR="00FF27B6" w:rsidRDefault="00700A86">
      <w:pPr>
        <w:pStyle w:val="ListParagraph"/>
        <w:numPr>
          <w:ilvl w:val="0"/>
          <w:numId w:val="2"/>
        </w:numPr>
        <w:spacing w:after="60" w:line="276" w:lineRule="auto"/>
      </w:pPr>
      <w:r>
        <w:t>Advanced data quality — Great Expectations-style suites with statistical distribution checks.</w:t>
      </w:r>
    </w:p>
    <w:p w14:paraId="45D2B94C" w14:textId="77777777" w:rsidR="00FF27B6" w:rsidRDefault="00700A86">
      <w:pPr>
        <w:pStyle w:val="Heading2"/>
      </w:pPr>
      <w:r>
        <w:t>Medium-Term (Months 18–30)</w:t>
      </w:r>
    </w:p>
    <w:p w14:paraId="401B6197" w14:textId="77777777" w:rsidR="00FF27B6" w:rsidRDefault="00700A86">
      <w:pPr>
        <w:pStyle w:val="ListParagraph"/>
        <w:numPr>
          <w:ilvl w:val="0"/>
          <w:numId w:val="2"/>
        </w:numPr>
        <w:spacing w:after="60" w:line="276" w:lineRule="auto"/>
      </w:pPr>
      <w:r>
        <w:t>Virtual shopping assistant on Amazon Bedrock (RAG over catalog, inventory, purchase history).</w:t>
      </w:r>
    </w:p>
    <w:p w14:paraId="757BB48B" w14:textId="77777777" w:rsidR="00FF27B6" w:rsidRDefault="00700A86">
      <w:pPr>
        <w:pStyle w:val="ListParagraph"/>
        <w:numPr>
          <w:ilvl w:val="0"/>
          <w:numId w:val="2"/>
        </w:numPr>
        <w:spacing w:after="60" w:line="276" w:lineRule="auto"/>
      </w:pPr>
      <w:r>
        <w:t>External data monetisation — anonymised retail-trend data via an API marketplace.</w:t>
      </w:r>
    </w:p>
    <w:p w14:paraId="25CA3EC5" w14:textId="77777777" w:rsidR="00FF27B6" w:rsidRDefault="00700A86">
      <w:pPr>
        <w:pStyle w:val="ListParagraph"/>
        <w:numPr>
          <w:ilvl w:val="0"/>
          <w:numId w:val="2"/>
        </w:numPr>
        <w:spacing w:after="60" w:line="276" w:lineRule="auto"/>
      </w:pPr>
      <w:r>
        <w:t>Data mesh — domain teams own and publish data products through the shared catalog.</w:t>
      </w:r>
    </w:p>
    <w:p w14:paraId="5AD6D239" w14:textId="77777777" w:rsidR="00FF27B6" w:rsidRDefault="00700A86">
      <w:pPr>
        <w:pStyle w:val="Heading2"/>
      </w:pPr>
      <w:r>
        <w:t>Long-Term (30+ Months)</w:t>
      </w:r>
    </w:p>
    <w:p w14:paraId="7E4BB98F" w14:textId="77777777" w:rsidR="00FF27B6" w:rsidRDefault="00700A86">
      <w:pPr>
        <w:pStyle w:val="ListParagraph"/>
        <w:numPr>
          <w:ilvl w:val="0"/>
          <w:numId w:val="2"/>
        </w:numPr>
        <w:spacing w:after="60" w:line="276" w:lineRule="auto"/>
      </w:pPr>
      <w:r>
        <w:t>AI-agent ecosystem via Bedrock Agents; federated ML across partners without sharing raw data; board-reportable carbon-neutrality roadmap.</w:t>
      </w:r>
    </w:p>
    <w:p w14:paraId="3A1A8F85" w14:textId="77777777" w:rsidR="00FF27B6" w:rsidRDefault="00700A86">
      <w:pPr>
        <w:pStyle w:val="Heading1"/>
        <w:pageBreakBefore/>
      </w:pPr>
      <w:bookmarkStart w:id="6" w:name="secApp"/>
      <w:r>
        <w:t>Appendix</w:t>
      </w:r>
      <w:bookmarkEnd w:id="6"/>
    </w:p>
    <w:p w14:paraId="2800C2CD" w14:textId="77777777" w:rsidR="00FF27B6" w:rsidRDefault="00700A86">
      <w:pPr>
        <w:pStyle w:val="Heading2"/>
      </w:pPr>
      <w:r>
        <w:t>A. References</w:t>
      </w:r>
    </w:p>
    <w:p w14:paraId="403DF203" w14:textId="77777777" w:rsidR="00FF27B6" w:rsidRDefault="00700A86">
      <w:pPr>
        <w:pStyle w:val="ListParagraph"/>
        <w:numPr>
          <w:ilvl w:val="0"/>
          <w:numId w:val="2"/>
        </w:numPr>
        <w:spacing w:after="60" w:line="276" w:lineRule="auto"/>
      </w:pPr>
      <w:r>
        <w:t>Precedence Research — Retail Analytics Market Size, Share &amp; Trends, 2024–2034.</w:t>
      </w:r>
    </w:p>
    <w:p w14:paraId="237A3821" w14:textId="77777777" w:rsidR="00FF27B6" w:rsidRDefault="00700A86">
      <w:pPr>
        <w:pStyle w:val="ListParagraph"/>
        <w:numPr>
          <w:ilvl w:val="0"/>
          <w:numId w:val="2"/>
        </w:numPr>
        <w:spacing w:after="60" w:line="276" w:lineRule="auto"/>
      </w:pPr>
      <w:r>
        <w:t>NTT Data — Mango Case Study: AWS Cloud Migration.</w:t>
      </w:r>
    </w:p>
    <w:p w14:paraId="22C81811" w14:textId="77777777" w:rsidR="00FF27B6" w:rsidRDefault="00700A86">
      <w:pPr>
        <w:pStyle w:val="ListParagraph"/>
        <w:numPr>
          <w:ilvl w:val="0"/>
          <w:numId w:val="2"/>
        </w:numPr>
        <w:spacing w:after="60" w:line="276" w:lineRule="auto"/>
      </w:pPr>
      <w:r>
        <w:t>AWS — Kinesis, Glue, SageMaker, Lake Formation developer documentation.</w:t>
      </w:r>
    </w:p>
    <w:p w14:paraId="715001FD" w14:textId="77777777" w:rsidR="00FF27B6" w:rsidRDefault="00700A86">
      <w:pPr>
        <w:pStyle w:val="ListParagraph"/>
        <w:numPr>
          <w:ilvl w:val="0"/>
          <w:numId w:val="2"/>
        </w:numPr>
        <w:spacing w:after="60" w:line="276" w:lineRule="auto"/>
      </w:pPr>
      <w:r>
        <w:t>Manga DataHub interactive platform (CloudCore Solutions) — live on Vercel.</w:t>
      </w:r>
    </w:p>
    <w:p w14:paraId="2569417F" w14:textId="77777777" w:rsidR="00FF27B6" w:rsidRDefault="00700A86">
      <w:pPr>
        <w:pStyle w:val="Heading2"/>
      </w:pPr>
      <w:r>
        <w:t>B. Generative AI Acknowledgement</w:t>
      </w:r>
    </w:p>
    <w:p w14:paraId="52025EE8" w14:textId="77777777" w:rsidR="00FF27B6" w:rsidRDefault="00700A86">
      <w:pPr>
        <w:spacing w:after="120" w:line="276" w:lineRule="auto"/>
      </w:pPr>
      <w:r>
        <w:t>This document was produced with the assistance of generative AI tools in accordance with IE University MBD-EN2025 course guidelines. AI assistance supported drafting and refining written sections, validating AWS service recommendations, and producing supporting visualisations. All architectural decisions, analysis, and rationale were reviewed, validated, and approved by the team, which retains final responsibility for all content.</w:t>
      </w:r>
    </w:p>
    <w:p w14:paraId="3FFFC5D8" w14:textId="77777777" w:rsidR="00FF27B6" w:rsidRDefault="00700A86">
      <w:pPr>
        <w:pStyle w:val="Heading2"/>
      </w:pPr>
      <w:r>
        <w:t>C. Team Contributions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F27B6" w14:paraId="4CCC7CD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255C7F5" w14:textId="77777777" w:rsidR="00FF27B6" w:rsidRDefault="00700A86">
            <w:r>
              <w:rPr>
                <w:b/>
                <w:bCs/>
                <w:color w:val="FFFFFF"/>
                <w:sz w:val="19"/>
                <w:szCs w:val="19"/>
              </w:rPr>
              <w:t>Member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FE4EFB3" w14:textId="77777777" w:rsidR="00FF27B6" w:rsidRDefault="00700A86">
            <w:r>
              <w:rPr>
                <w:b/>
                <w:bCs/>
                <w:color w:val="FFFFFF"/>
                <w:sz w:val="19"/>
                <w:szCs w:val="19"/>
              </w:rPr>
              <w:t>Primary responsibilities</w:t>
            </w:r>
          </w:p>
        </w:tc>
      </w:tr>
      <w:tr w:rsidR="00FF27B6" w14:paraId="621EA2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DF3E7E" w14:textId="77777777" w:rsidR="00FF27B6" w:rsidRDefault="00700A86">
            <w:r>
              <w:rPr>
                <w:sz w:val="19"/>
                <w:szCs w:val="19"/>
              </w:rPr>
              <w:t>Andrea Alarcón Valles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6D4C8E" w14:textId="77777777" w:rsidR="00FF27B6" w:rsidRDefault="00700A86">
            <w:r>
              <w:rPr>
                <w:sz w:val="19"/>
                <w:szCs w:val="19"/>
              </w:rPr>
              <w:t>Executive Summary, document coordination, stakeholder analysis, final editing.</w:t>
            </w:r>
          </w:p>
        </w:tc>
      </w:tr>
      <w:tr w:rsidR="00FF27B6" w14:paraId="6EC7DE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4C595E2E" w14:textId="77777777" w:rsidR="00FF27B6" w:rsidRDefault="00700A86">
            <w:r>
              <w:rPr>
                <w:sz w:val="19"/>
                <w:szCs w:val="19"/>
              </w:rPr>
              <w:t>Mateus Carneiro</w:t>
            </w:r>
          </w:p>
        </w:tc>
        <w:tc>
          <w:tcPr>
            <w:tcW w:w="63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1B7EE946" w14:textId="77777777" w:rsidR="00FF27B6" w:rsidRDefault="00700A86">
            <w:r>
              <w:rPr>
                <w:sz w:val="19"/>
                <w:szCs w:val="19"/>
              </w:rPr>
              <w:t>High-Level Architecture, conceptual design, architecture diagrams.</w:t>
            </w:r>
          </w:p>
        </w:tc>
      </w:tr>
      <w:tr w:rsidR="00FF27B6" w14:paraId="5296A1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B927B2" w14:textId="77777777" w:rsidR="00FF27B6" w:rsidRDefault="00700A86">
            <w:r>
              <w:rPr>
                <w:sz w:val="19"/>
                <w:szCs w:val="19"/>
              </w:rPr>
              <w:t>Tina Jannasch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349721" w14:textId="77777777" w:rsidR="00FF27B6" w:rsidRDefault="00700A86">
            <w:r>
              <w:rPr>
                <w:sz w:val="19"/>
                <w:szCs w:val="19"/>
              </w:rPr>
              <w:t>Low-Level Architecture, AWS service selection and cost rationale.</w:t>
            </w:r>
          </w:p>
        </w:tc>
      </w:tr>
      <w:tr w:rsidR="00FF27B6" w14:paraId="183BFE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77AD8EA4" w14:textId="77777777" w:rsidR="00FF27B6" w:rsidRDefault="00700A86">
            <w:r>
              <w:rPr>
                <w:sz w:val="19"/>
                <w:szCs w:val="19"/>
              </w:rPr>
              <w:t>Ricardo Liévano Pedroza</w:t>
            </w:r>
          </w:p>
        </w:tc>
        <w:tc>
          <w:tcPr>
            <w:tcW w:w="63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584633BF" w14:textId="77777777" w:rsidR="00FF27B6" w:rsidRDefault="00700A86">
            <w:r>
              <w:rPr>
                <w:sz w:val="19"/>
                <w:szCs w:val="19"/>
              </w:rPr>
              <w:t>Project Implementation, R1–R8 mapping, risk register, timeline.</w:t>
            </w:r>
          </w:p>
        </w:tc>
      </w:tr>
      <w:tr w:rsidR="00FF27B6" w14:paraId="3AFBC7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91065D" w14:textId="77777777" w:rsidR="00FF27B6" w:rsidRDefault="00700A86">
            <w:r>
              <w:rPr>
                <w:sz w:val="19"/>
                <w:szCs w:val="19"/>
              </w:rPr>
              <w:t>Luka Tcheishvili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ADF779" w14:textId="77777777" w:rsidR="00FF27B6" w:rsidRDefault="00700A86">
            <w:r>
              <w:rPr>
                <w:sz w:val="19"/>
                <w:szCs w:val="19"/>
              </w:rPr>
              <w:t>Data-source analysis, sample use cases, pipeline design, interactive web app.</w:t>
            </w:r>
          </w:p>
        </w:tc>
      </w:tr>
      <w:tr w:rsidR="00FF27B6" w14:paraId="29BB29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681045B7" w14:textId="77777777" w:rsidR="00FF27B6" w:rsidRDefault="00700A86">
            <w:r>
              <w:rPr>
                <w:sz w:val="19"/>
                <w:szCs w:val="19"/>
              </w:rPr>
              <w:t>Nicklas Urban</w:t>
            </w:r>
          </w:p>
        </w:tc>
        <w:tc>
          <w:tcPr>
            <w:tcW w:w="6360" w:type="dxa"/>
            <w:tcBorders>
              <w:top w:val="single" w:sz="1" w:space="0" w:color="CCCCCC"/>
              <w:left w:val="single" w:sz="1" w:space="0" w:color="CCCCCC"/>
              <w:bottom w:val="single" w:sz="1" w:space="0" w:color="CCCCCC"/>
              <w:right w:val="single" w:sz="1" w:space="0" w:color="CCCCCC"/>
            </w:tcBorders>
            <w:shd w:val="clear" w:color="auto" w:fill="F4F8FC"/>
            <w:tcMar>
              <w:top w:w="60" w:type="dxa"/>
              <w:left w:w="110" w:type="dxa"/>
              <w:bottom w:w="60" w:type="dxa"/>
              <w:right w:w="110" w:type="dxa"/>
            </w:tcMar>
            <w:vAlign w:val="center"/>
          </w:tcPr>
          <w:p w14:paraId="534F7152" w14:textId="77777777" w:rsidR="00FF27B6" w:rsidRDefault="00700A86">
            <w:r>
              <w:rPr>
                <w:sz w:val="19"/>
                <w:szCs w:val="19"/>
              </w:rPr>
              <w:t>Future Improvements, GitHub repository, deployment, presentation lead.</w:t>
            </w:r>
          </w:p>
        </w:tc>
      </w:tr>
    </w:tbl>
    <w:p w14:paraId="0C372E52" w14:textId="77777777" w:rsidR="00FF27B6" w:rsidRDefault="00700A86">
      <w:pPr>
        <w:pStyle w:val="Heading2"/>
      </w:pPr>
      <w:r>
        <w:rPr>
          <w:sz w:val="28"/>
        </w:rPr>
        <w:t>D. Operating Evidence Appendix</w:t>
      </w:r>
    </w:p>
    <w:p w14:paraId="3BF8B690" w14:textId="77777777" w:rsidR="00FF27B6" w:rsidRDefault="00700A86">
      <w:r>
        <w:t>The following operating evidence turns the R1-R8 requirements into measurable delivery controls. Cost and emissions figures are planning assumptions to validate during discovery; the monitoring, retention, quality, and recovery controls are proposed operating targets for production.</w:t>
      </w:r>
    </w:p>
    <w:p w14:paraId="4F8083AF" w14:textId="77777777" w:rsidR="00FF27B6" w:rsidRDefault="00700A86">
      <w:pPr>
        <w:pStyle w:val="Heading3"/>
      </w:pPr>
      <w:r>
        <w:rPr>
          <w:b/>
        </w:rPr>
        <w:t>R6 Cost Model Assumptions</w:t>
      </w:r>
    </w:p>
    <w:tbl>
      <w:tblPr>
        <w:tblW w:w="0" w:type="auto"/>
        <w:tblCellMar>
          <w:left w:w="10" w:type="dxa"/>
          <w:right w:w="10" w:type="dxa"/>
        </w:tblCellMar>
        <w:tblLook w:val="04A0" w:firstRow="1" w:lastRow="0" w:firstColumn="1" w:lastColumn="0" w:noHBand="0" w:noVBand="1"/>
      </w:tblPr>
      <w:tblGrid>
        <w:gridCol w:w="2340"/>
        <w:gridCol w:w="2340"/>
        <w:gridCol w:w="2340"/>
        <w:gridCol w:w="2340"/>
      </w:tblGrid>
      <w:tr w:rsidR="00FF27B6" w14:paraId="12A8D0AF" w14:textId="77777777">
        <w:tc>
          <w:tcPr>
            <w:tcW w:w="2340" w:type="dxa"/>
          </w:tcPr>
          <w:p w14:paraId="1048B475" w14:textId="77777777" w:rsidR="00FF27B6" w:rsidRDefault="00700A86">
            <w:r>
              <w:rPr>
                <w:b/>
                <w:sz w:val="17"/>
              </w:rPr>
              <w:t>Cost area</w:t>
            </w:r>
          </w:p>
        </w:tc>
        <w:tc>
          <w:tcPr>
            <w:tcW w:w="2340" w:type="dxa"/>
          </w:tcPr>
          <w:p w14:paraId="503FA4D9" w14:textId="77777777" w:rsidR="00FF27B6" w:rsidRDefault="00700A86">
            <w:r>
              <w:rPr>
                <w:b/>
                <w:sz w:val="17"/>
              </w:rPr>
              <w:t>Current colocation assumption</w:t>
            </w:r>
          </w:p>
        </w:tc>
        <w:tc>
          <w:tcPr>
            <w:tcW w:w="2340" w:type="dxa"/>
          </w:tcPr>
          <w:p w14:paraId="34A40973" w14:textId="77777777" w:rsidR="00FF27B6" w:rsidRDefault="00700A86">
            <w:r>
              <w:rPr>
                <w:b/>
                <w:sz w:val="17"/>
              </w:rPr>
              <w:t>AWS target assumption</w:t>
            </w:r>
          </w:p>
        </w:tc>
        <w:tc>
          <w:tcPr>
            <w:tcW w:w="2340" w:type="dxa"/>
          </w:tcPr>
          <w:p w14:paraId="140B5AD8" w14:textId="77777777" w:rsidR="00FF27B6" w:rsidRDefault="00700A86">
            <w:r>
              <w:rPr>
                <w:b/>
                <w:sz w:val="17"/>
              </w:rPr>
              <w:t>Saving lever</w:t>
            </w:r>
          </w:p>
        </w:tc>
      </w:tr>
      <w:tr w:rsidR="00FF27B6" w14:paraId="3629EC08" w14:textId="77777777">
        <w:tc>
          <w:tcPr>
            <w:tcW w:w="2340" w:type="dxa"/>
          </w:tcPr>
          <w:p w14:paraId="715A9699" w14:textId="77777777" w:rsidR="00FF27B6" w:rsidRDefault="00700A86">
            <w:r>
              <w:rPr>
                <w:sz w:val="17"/>
              </w:rPr>
              <w:t>Compute and ETL</w:t>
            </w:r>
          </w:p>
        </w:tc>
        <w:tc>
          <w:tcPr>
            <w:tcW w:w="2340" w:type="dxa"/>
          </w:tcPr>
          <w:p w14:paraId="3B50614C" w14:textId="77777777" w:rsidR="00FF27B6" w:rsidRDefault="00700A86">
            <w:r>
              <w:rPr>
                <w:sz w:val="17"/>
              </w:rPr>
              <w:t>Always-on partner servers sized for peak nightly jobs.</w:t>
            </w:r>
          </w:p>
        </w:tc>
        <w:tc>
          <w:tcPr>
            <w:tcW w:w="2340" w:type="dxa"/>
          </w:tcPr>
          <w:p w14:paraId="15B161E0" w14:textId="77777777" w:rsidR="00FF27B6" w:rsidRDefault="00700A86">
            <w:r>
              <w:rPr>
                <w:sz w:val="17"/>
              </w:rPr>
              <w:t>Glue billed per DPU-hour, Spot for non-critical jobs, and small MWAA schedulers.</w:t>
            </w:r>
          </w:p>
        </w:tc>
        <w:tc>
          <w:tcPr>
            <w:tcW w:w="2340" w:type="dxa"/>
          </w:tcPr>
          <w:p w14:paraId="510489DE" w14:textId="77777777" w:rsidR="00FF27B6" w:rsidRDefault="00700A86">
            <w:r>
              <w:rPr>
                <w:sz w:val="17"/>
              </w:rPr>
              <w:t>Pay only when pipelines run.</w:t>
            </w:r>
          </w:p>
        </w:tc>
      </w:tr>
      <w:tr w:rsidR="00FF27B6" w14:paraId="606C6352" w14:textId="77777777">
        <w:tc>
          <w:tcPr>
            <w:tcW w:w="2340" w:type="dxa"/>
          </w:tcPr>
          <w:p w14:paraId="0150B558" w14:textId="77777777" w:rsidR="00FF27B6" w:rsidRDefault="00700A86">
            <w:r>
              <w:rPr>
                <w:sz w:val="17"/>
              </w:rPr>
              <w:t>Storage and backup</w:t>
            </w:r>
          </w:p>
        </w:tc>
        <w:tc>
          <w:tcPr>
            <w:tcW w:w="2340" w:type="dxa"/>
          </w:tcPr>
          <w:p w14:paraId="10499A8F" w14:textId="77777777" w:rsidR="00FF27B6" w:rsidRDefault="00700A86">
            <w:r>
              <w:rPr>
                <w:sz w:val="17"/>
              </w:rPr>
              <w:t>SAN/NAS plus backup contract sized for seven-year growth.</w:t>
            </w:r>
          </w:p>
        </w:tc>
        <w:tc>
          <w:tcPr>
            <w:tcW w:w="2340" w:type="dxa"/>
          </w:tcPr>
          <w:p w14:paraId="72BB0C28" w14:textId="77777777" w:rsidR="00FF27B6" w:rsidRDefault="00700A86">
            <w:r>
              <w:rPr>
                <w:sz w:val="17"/>
              </w:rPr>
              <w:t>S3 Raw, Curated, and Serving zones with Intelligent-Tiering and Glacier lifecycle.</w:t>
            </w:r>
          </w:p>
        </w:tc>
        <w:tc>
          <w:tcPr>
            <w:tcW w:w="2340" w:type="dxa"/>
          </w:tcPr>
          <w:p w14:paraId="0CCE4652" w14:textId="77777777" w:rsidR="00FF27B6" w:rsidRDefault="00700A86">
            <w:r>
              <w:rPr>
                <w:sz w:val="17"/>
              </w:rPr>
              <w:t>Hot data stays fast; cold data becomes cheap.</w:t>
            </w:r>
          </w:p>
        </w:tc>
      </w:tr>
      <w:tr w:rsidR="00FF27B6" w14:paraId="72617EDF" w14:textId="77777777">
        <w:tc>
          <w:tcPr>
            <w:tcW w:w="2340" w:type="dxa"/>
          </w:tcPr>
          <w:p w14:paraId="392B2F16" w14:textId="77777777" w:rsidR="00FF27B6" w:rsidRDefault="00700A86">
            <w:r>
              <w:rPr>
                <w:sz w:val="17"/>
              </w:rPr>
              <w:t>BI and serving</w:t>
            </w:r>
          </w:p>
        </w:tc>
        <w:tc>
          <w:tcPr>
            <w:tcW w:w="2340" w:type="dxa"/>
          </w:tcPr>
          <w:p w14:paraId="48BA20DB" w14:textId="77777777" w:rsidR="00FF27B6" w:rsidRDefault="00700A86">
            <w:r>
              <w:rPr>
                <w:sz w:val="17"/>
              </w:rPr>
              <w:t>Excel distribution plus manual engineering support.</w:t>
            </w:r>
          </w:p>
        </w:tc>
        <w:tc>
          <w:tcPr>
            <w:tcW w:w="2340" w:type="dxa"/>
          </w:tcPr>
          <w:p w14:paraId="278B3E70" w14:textId="77777777" w:rsidR="00FF27B6" w:rsidRDefault="00700A86">
            <w:r>
              <w:rPr>
                <w:sz w:val="17"/>
              </w:rPr>
              <w:t>QuickSight pay-per-session, Athena per-query, and Redshift RA3 for steady BI.</w:t>
            </w:r>
          </w:p>
        </w:tc>
        <w:tc>
          <w:tcPr>
            <w:tcW w:w="2340" w:type="dxa"/>
          </w:tcPr>
          <w:p w14:paraId="23E7101A" w14:textId="77777777" w:rsidR="00FF27B6" w:rsidRDefault="00700A86">
            <w:r>
              <w:rPr>
                <w:sz w:val="17"/>
              </w:rPr>
              <w:t>Usage-based analytics.</w:t>
            </w:r>
          </w:p>
        </w:tc>
      </w:tr>
      <w:tr w:rsidR="00FF27B6" w14:paraId="67564B5A" w14:textId="77777777">
        <w:tc>
          <w:tcPr>
            <w:tcW w:w="2340" w:type="dxa"/>
          </w:tcPr>
          <w:p w14:paraId="214D3184" w14:textId="77777777" w:rsidR="00FF27B6" w:rsidRDefault="00700A86">
            <w:r>
              <w:rPr>
                <w:sz w:val="17"/>
              </w:rPr>
              <w:t>Operations</w:t>
            </w:r>
          </w:p>
        </w:tc>
        <w:tc>
          <w:tcPr>
            <w:tcW w:w="2340" w:type="dxa"/>
          </w:tcPr>
          <w:p w14:paraId="29715C36" w14:textId="77777777" w:rsidR="00FF27B6" w:rsidRDefault="00700A86">
            <w:r>
              <w:rPr>
                <w:sz w:val="17"/>
              </w:rPr>
              <w:t>Partner-operated colocation and fixed support contract.</w:t>
            </w:r>
          </w:p>
        </w:tc>
        <w:tc>
          <w:tcPr>
            <w:tcW w:w="2340" w:type="dxa"/>
          </w:tcPr>
          <w:p w14:paraId="7CEB537D" w14:textId="77777777" w:rsidR="00FF27B6" w:rsidRDefault="00700A86">
            <w:r>
              <w:rPr>
                <w:sz w:val="17"/>
              </w:rPr>
              <w:t>Managed AWS services, CloudWatch/SNS automation, and IaC repeatability.</w:t>
            </w:r>
          </w:p>
        </w:tc>
        <w:tc>
          <w:tcPr>
            <w:tcW w:w="2340" w:type="dxa"/>
          </w:tcPr>
          <w:p w14:paraId="6AEED460" w14:textId="77777777" w:rsidR="00FF27B6" w:rsidRDefault="00700A86">
            <w:r>
              <w:rPr>
                <w:sz w:val="17"/>
              </w:rPr>
              <w:t>Fewer manual runbooks and escalations.</w:t>
            </w:r>
          </w:p>
        </w:tc>
      </w:tr>
      <w:tr w:rsidR="00FF27B6" w14:paraId="027836A9" w14:textId="77777777">
        <w:tc>
          <w:tcPr>
            <w:tcW w:w="2340" w:type="dxa"/>
          </w:tcPr>
          <w:p w14:paraId="7495ABDC" w14:textId="77777777" w:rsidR="00FF27B6" w:rsidRDefault="00700A86">
            <w:r>
              <w:rPr>
                <w:sz w:val="17"/>
              </w:rPr>
              <w:t>Model result</w:t>
            </w:r>
          </w:p>
        </w:tc>
        <w:tc>
          <w:tcPr>
            <w:tcW w:w="2340" w:type="dxa"/>
          </w:tcPr>
          <w:p w14:paraId="2CEF13E7" w14:textId="77777777" w:rsidR="00FF27B6" w:rsidRDefault="00700A86">
            <w:r>
              <w:rPr>
                <w:sz w:val="17"/>
              </w:rPr>
              <w:t>About EUR 1.30M per year baseline.</w:t>
            </w:r>
          </w:p>
        </w:tc>
        <w:tc>
          <w:tcPr>
            <w:tcW w:w="2340" w:type="dxa"/>
          </w:tcPr>
          <w:p w14:paraId="6ADB5DDB" w14:textId="77777777" w:rsidR="00FF27B6" w:rsidRDefault="00700A86">
            <w:r>
              <w:rPr>
                <w:sz w:val="17"/>
              </w:rPr>
              <w:t>About EUR 0.56M per year AWS target.</w:t>
            </w:r>
          </w:p>
        </w:tc>
        <w:tc>
          <w:tcPr>
            <w:tcW w:w="2340" w:type="dxa"/>
          </w:tcPr>
          <w:p w14:paraId="7CAC8BB2" w14:textId="77777777" w:rsidR="00FF27B6" w:rsidRDefault="00700A86">
            <w:r>
              <w:rPr>
                <w:sz w:val="17"/>
              </w:rPr>
              <w:t>40-60% range; 57% base-case reduction validated monthly with Cost Explorer and CUR.</w:t>
            </w:r>
          </w:p>
        </w:tc>
      </w:tr>
    </w:tbl>
    <w:p w14:paraId="58D5A2C5" w14:textId="77777777" w:rsidR="00FF27B6" w:rsidRDefault="00700A86">
      <w:pPr>
        <w:pStyle w:val="Heading3"/>
      </w:pPr>
      <w:r>
        <w:rPr>
          <w:b/>
        </w:rPr>
        <w:t>R8 Sustainability Metrics</w:t>
      </w:r>
    </w:p>
    <w:tbl>
      <w:tblPr>
        <w:tblW w:w="0" w:type="auto"/>
        <w:tblCellMar>
          <w:left w:w="10" w:type="dxa"/>
          <w:right w:w="10" w:type="dxa"/>
        </w:tblCellMar>
        <w:tblLook w:val="04A0" w:firstRow="1" w:lastRow="0" w:firstColumn="1" w:lastColumn="0" w:noHBand="0" w:noVBand="1"/>
      </w:tblPr>
      <w:tblGrid>
        <w:gridCol w:w="2340"/>
        <w:gridCol w:w="2340"/>
        <w:gridCol w:w="2340"/>
        <w:gridCol w:w="2340"/>
      </w:tblGrid>
      <w:tr w:rsidR="00FF27B6" w14:paraId="38203879" w14:textId="77777777">
        <w:tc>
          <w:tcPr>
            <w:tcW w:w="2340" w:type="dxa"/>
          </w:tcPr>
          <w:p w14:paraId="16D2544F" w14:textId="77777777" w:rsidR="00FF27B6" w:rsidRDefault="00700A86">
            <w:r>
              <w:rPr>
                <w:b/>
                <w:sz w:val="17"/>
              </w:rPr>
              <w:t>Metric</w:t>
            </w:r>
          </w:p>
        </w:tc>
        <w:tc>
          <w:tcPr>
            <w:tcW w:w="2340" w:type="dxa"/>
          </w:tcPr>
          <w:p w14:paraId="1DF92508" w14:textId="77777777" w:rsidR="00FF27B6" w:rsidRDefault="00700A86">
            <w:r>
              <w:rPr>
                <w:b/>
                <w:sz w:val="17"/>
              </w:rPr>
              <w:t>Baseline method</w:t>
            </w:r>
          </w:p>
        </w:tc>
        <w:tc>
          <w:tcPr>
            <w:tcW w:w="2340" w:type="dxa"/>
          </w:tcPr>
          <w:p w14:paraId="7A0E5E92" w14:textId="77777777" w:rsidR="00FF27B6" w:rsidRDefault="00700A86">
            <w:r>
              <w:rPr>
                <w:b/>
                <w:sz w:val="17"/>
              </w:rPr>
              <w:t>Target / control</w:t>
            </w:r>
          </w:p>
        </w:tc>
        <w:tc>
          <w:tcPr>
            <w:tcW w:w="2340" w:type="dxa"/>
          </w:tcPr>
          <w:p w14:paraId="144F0FDC" w14:textId="77777777" w:rsidR="00FF27B6" w:rsidRDefault="00700A86">
            <w:r>
              <w:rPr>
                <w:b/>
                <w:sz w:val="17"/>
              </w:rPr>
              <w:t>Cadence</w:t>
            </w:r>
          </w:p>
        </w:tc>
      </w:tr>
      <w:tr w:rsidR="00FF27B6" w14:paraId="63C1F4E0" w14:textId="77777777">
        <w:tc>
          <w:tcPr>
            <w:tcW w:w="2340" w:type="dxa"/>
          </w:tcPr>
          <w:p w14:paraId="472353B9" w14:textId="77777777" w:rsidR="00FF27B6" w:rsidRDefault="00700A86">
            <w:r>
              <w:rPr>
                <w:sz w:val="17"/>
              </w:rPr>
              <w:t>Operational carbon index</w:t>
            </w:r>
          </w:p>
        </w:tc>
        <w:tc>
          <w:tcPr>
            <w:tcW w:w="2340" w:type="dxa"/>
          </w:tcPr>
          <w:p w14:paraId="314FAAE9" w14:textId="77777777" w:rsidR="00FF27B6" w:rsidRDefault="00700A86">
            <w:r>
              <w:rPr>
                <w:sz w:val="17"/>
              </w:rPr>
              <w:t>Normalize current colocation to 100 using invoices, server count, provider PUE, and energy mix.</w:t>
            </w:r>
          </w:p>
        </w:tc>
        <w:tc>
          <w:tcPr>
            <w:tcW w:w="2340" w:type="dxa"/>
          </w:tcPr>
          <w:p w14:paraId="585C8A27" w14:textId="77777777" w:rsidR="00FF27B6" w:rsidRDefault="00700A86">
            <w:r>
              <w:rPr>
                <w:sz w:val="17"/>
              </w:rPr>
              <w:t>Target index 45-60 through AWS Customer Carbon Footprint Tool reporting.</w:t>
            </w:r>
          </w:p>
        </w:tc>
        <w:tc>
          <w:tcPr>
            <w:tcW w:w="2340" w:type="dxa"/>
          </w:tcPr>
          <w:p w14:paraId="712CEE61" w14:textId="77777777" w:rsidR="00FF27B6" w:rsidRDefault="00700A86">
            <w:r>
              <w:rPr>
                <w:sz w:val="17"/>
              </w:rPr>
              <w:t>Monthly</w:t>
            </w:r>
          </w:p>
        </w:tc>
      </w:tr>
      <w:tr w:rsidR="00FF27B6" w14:paraId="2C4C216C" w14:textId="77777777">
        <w:tc>
          <w:tcPr>
            <w:tcW w:w="2340" w:type="dxa"/>
          </w:tcPr>
          <w:p w14:paraId="22DC161C" w14:textId="77777777" w:rsidR="00FF27B6" w:rsidRDefault="00700A86">
            <w:r>
              <w:rPr>
                <w:sz w:val="17"/>
              </w:rPr>
              <w:t>Idle compute ratio</w:t>
            </w:r>
          </w:p>
        </w:tc>
        <w:tc>
          <w:tcPr>
            <w:tcW w:w="2340" w:type="dxa"/>
          </w:tcPr>
          <w:p w14:paraId="7048F6C0" w14:textId="77777777" w:rsidR="00FF27B6" w:rsidRDefault="00700A86">
            <w:r>
              <w:rPr>
                <w:sz w:val="17"/>
              </w:rPr>
              <w:t>Always-on servers sized for peak batch windows.</w:t>
            </w:r>
          </w:p>
        </w:tc>
        <w:tc>
          <w:tcPr>
            <w:tcW w:w="2340" w:type="dxa"/>
          </w:tcPr>
          <w:p w14:paraId="3A2F2800" w14:textId="77777777" w:rsidR="00FF27B6" w:rsidRDefault="00700A86">
            <w:r>
              <w:rPr>
                <w:sz w:val="17"/>
              </w:rPr>
              <w:t>Less than 20% idle compute through serverless, autoscaling, and scheduled jobs.</w:t>
            </w:r>
          </w:p>
        </w:tc>
        <w:tc>
          <w:tcPr>
            <w:tcW w:w="2340" w:type="dxa"/>
          </w:tcPr>
          <w:p w14:paraId="3E1E5267" w14:textId="77777777" w:rsidR="00FF27B6" w:rsidRDefault="00700A86">
            <w:r>
              <w:rPr>
                <w:sz w:val="17"/>
              </w:rPr>
              <w:t>Monthly</w:t>
            </w:r>
          </w:p>
        </w:tc>
      </w:tr>
      <w:tr w:rsidR="00FF27B6" w14:paraId="66D67A34" w14:textId="77777777">
        <w:tc>
          <w:tcPr>
            <w:tcW w:w="2340" w:type="dxa"/>
          </w:tcPr>
          <w:p w14:paraId="7FAAE434" w14:textId="77777777" w:rsidR="00FF27B6" w:rsidRDefault="00700A86">
            <w:r>
              <w:rPr>
                <w:sz w:val="17"/>
              </w:rPr>
              <w:t>Storage efficiency</w:t>
            </w:r>
          </w:p>
        </w:tc>
        <w:tc>
          <w:tcPr>
            <w:tcW w:w="2340" w:type="dxa"/>
          </w:tcPr>
          <w:p w14:paraId="5A019307" w14:textId="77777777" w:rsidR="00FF27B6" w:rsidRDefault="00700A86">
            <w:r>
              <w:rPr>
                <w:sz w:val="17"/>
              </w:rPr>
              <w:t>All historical data held in high-cost tiers.</w:t>
            </w:r>
          </w:p>
        </w:tc>
        <w:tc>
          <w:tcPr>
            <w:tcW w:w="2340" w:type="dxa"/>
          </w:tcPr>
          <w:p w14:paraId="0972625E" w14:textId="77777777" w:rsidR="00FF27B6" w:rsidRDefault="00700A86">
            <w:r>
              <w:rPr>
                <w:sz w:val="17"/>
              </w:rPr>
              <w:t>90-day S3 IA and 180/365-day Glacier transitions.</w:t>
            </w:r>
          </w:p>
        </w:tc>
        <w:tc>
          <w:tcPr>
            <w:tcW w:w="2340" w:type="dxa"/>
          </w:tcPr>
          <w:p w14:paraId="04345611" w14:textId="77777777" w:rsidR="00FF27B6" w:rsidRDefault="00700A86">
            <w:r>
              <w:rPr>
                <w:sz w:val="17"/>
              </w:rPr>
              <w:t>Monthly</w:t>
            </w:r>
          </w:p>
        </w:tc>
      </w:tr>
      <w:tr w:rsidR="00FF27B6" w14:paraId="6256E6E9" w14:textId="77777777">
        <w:tc>
          <w:tcPr>
            <w:tcW w:w="2340" w:type="dxa"/>
          </w:tcPr>
          <w:p w14:paraId="4D1B074A" w14:textId="77777777" w:rsidR="00FF27B6" w:rsidRDefault="00700A86">
            <w:r>
              <w:rPr>
                <w:sz w:val="17"/>
              </w:rPr>
              <w:t>Region policy</w:t>
            </w:r>
          </w:p>
        </w:tc>
        <w:tc>
          <w:tcPr>
            <w:tcW w:w="2340" w:type="dxa"/>
          </w:tcPr>
          <w:p w14:paraId="20F37907" w14:textId="77777777" w:rsidR="00FF27B6" w:rsidRDefault="00700A86">
            <w:r>
              <w:rPr>
                <w:sz w:val="17"/>
              </w:rPr>
              <w:t>Provider-dependent energy mix.</w:t>
            </w:r>
          </w:p>
        </w:tc>
        <w:tc>
          <w:tcPr>
            <w:tcW w:w="2340" w:type="dxa"/>
          </w:tcPr>
          <w:p w14:paraId="3776BE89" w14:textId="77777777" w:rsidR="00FF27B6" w:rsidRDefault="00700A86">
            <w:r>
              <w:rPr>
                <w:sz w:val="17"/>
              </w:rPr>
              <w:t>Prefer EU Ireland / Frankfurt; enforce region choices through IaC variables and SCP guardrails.</w:t>
            </w:r>
          </w:p>
        </w:tc>
        <w:tc>
          <w:tcPr>
            <w:tcW w:w="2340" w:type="dxa"/>
          </w:tcPr>
          <w:p w14:paraId="61786210" w14:textId="77777777" w:rsidR="00FF27B6" w:rsidRDefault="00700A86">
            <w:r>
              <w:rPr>
                <w:sz w:val="17"/>
              </w:rPr>
              <w:t>Every release</w:t>
            </w:r>
          </w:p>
        </w:tc>
      </w:tr>
      <w:tr w:rsidR="00FF27B6" w14:paraId="14D05B0E" w14:textId="77777777">
        <w:tc>
          <w:tcPr>
            <w:tcW w:w="2340" w:type="dxa"/>
          </w:tcPr>
          <w:p w14:paraId="3AE57673" w14:textId="77777777" w:rsidR="00FF27B6" w:rsidRDefault="00700A86">
            <w:r>
              <w:rPr>
                <w:sz w:val="17"/>
              </w:rPr>
              <w:t>Reporting</w:t>
            </w:r>
          </w:p>
        </w:tc>
        <w:tc>
          <w:tcPr>
            <w:tcW w:w="2340" w:type="dxa"/>
          </w:tcPr>
          <w:p w14:paraId="0FFDF2A5" w14:textId="77777777" w:rsidR="00FF27B6" w:rsidRDefault="00700A86">
            <w:r>
              <w:rPr>
                <w:sz w:val="17"/>
              </w:rPr>
              <w:t>Limited provider transparency.</w:t>
            </w:r>
          </w:p>
        </w:tc>
        <w:tc>
          <w:tcPr>
            <w:tcW w:w="2340" w:type="dxa"/>
          </w:tcPr>
          <w:p w14:paraId="1C5267C1" w14:textId="77777777" w:rsidR="00FF27B6" w:rsidRDefault="00700A86">
            <w:r>
              <w:rPr>
                <w:sz w:val="17"/>
              </w:rPr>
              <w:t>Dashboard by service, environment, kgCO2e, TB-month, DPU-hour, and EUR spent.</w:t>
            </w:r>
          </w:p>
        </w:tc>
        <w:tc>
          <w:tcPr>
            <w:tcW w:w="2340" w:type="dxa"/>
          </w:tcPr>
          <w:p w14:paraId="2063195A" w14:textId="77777777" w:rsidR="00FF27B6" w:rsidRDefault="00700A86">
            <w:r>
              <w:rPr>
                <w:sz w:val="17"/>
              </w:rPr>
              <w:t>Monthly ESG pack</w:t>
            </w:r>
          </w:p>
        </w:tc>
      </w:tr>
    </w:tbl>
    <w:p w14:paraId="1841D4E5" w14:textId="77777777" w:rsidR="00FF27B6" w:rsidRDefault="00700A86">
      <w:pPr>
        <w:pStyle w:val="Heading3"/>
      </w:pPr>
      <w:r>
        <w:rPr>
          <w:b/>
        </w:rPr>
        <w:t>R4 HA / DR Targets</w:t>
      </w:r>
    </w:p>
    <w:tbl>
      <w:tblPr>
        <w:tblW w:w="0" w:type="auto"/>
        <w:tblCellMar>
          <w:left w:w="10" w:type="dxa"/>
          <w:right w:w="10" w:type="dxa"/>
        </w:tblCellMar>
        <w:tblLook w:val="04A0" w:firstRow="1" w:lastRow="0" w:firstColumn="1" w:lastColumn="0" w:noHBand="0" w:noVBand="1"/>
      </w:tblPr>
      <w:tblGrid>
        <w:gridCol w:w="2340"/>
        <w:gridCol w:w="2340"/>
        <w:gridCol w:w="2340"/>
        <w:gridCol w:w="2340"/>
      </w:tblGrid>
      <w:tr w:rsidR="00FF27B6" w14:paraId="4FE4B6A5" w14:textId="77777777">
        <w:tc>
          <w:tcPr>
            <w:tcW w:w="2340" w:type="dxa"/>
          </w:tcPr>
          <w:p w14:paraId="3091207F" w14:textId="77777777" w:rsidR="00FF27B6" w:rsidRDefault="00700A86">
            <w:r>
              <w:rPr>
                <w:b/>
                <w:sz w:val="17"/>
              </w:rPr>
              <w:t>Workload</w:t>
            </w:r>
          </w:p>
        </w:tc>
        <w:tc>
          <w:tcPr>
            <w:tcW w:w="2340" w:type="dxa"/>
          </w:tcPr>
          <w:p w14:paraId="4A9870AB" w14:textId="77777777" w:rsidR="00FF27B6" w:rsidRDefault="00700A86">
            <w:r>
              <w:rPr>
                <w:b/>
                <w:sz w:val="17"/>
              </w:rPr>
              <w:t>HA / DR pattern</w:t>
            </w:r>
          </w:p>
        </w:tc>
        <w:tc>
          <w:tcPr>
            <w:tcW w:w="2340" w:type="dxa"/>
          </w:tcPr>
          <w:p w14:paraId="5527235E" w14:textId="77777777" w:rsidR="00FF27B6" w:rsidRDefault="00700A86">
            <w:r>
              <w:rPr>
                <w:b/>
                <w:sz w:val="17"/>
              </w:rPr>
              <w:t>RPO</w:t>
            </w:r>
          </w:p>
        </w:tc>
        <w:tc>
          <w:tcPr>
            <w:tcW w:w="2340" w:type="dxa"/>
          </w:tcPr>
          <w:p w14:paraId="59849F6B" w14:textId="77777777" w:rsidR="00FF27B6" w:rsidRDefault="00700A86">
            <w:r>
              <w:rPr>
                <w:b/>
                <w:sz w:val="17"/>
              </w:rPr>
              <w:t>RTO</w:t>
            </w:r>
          </w:p>
        </w:tc>
      </w:tr>
      <w:tr w:rsidR="00FF27B6" w14:paraId="7FB61759" w14:textId="77777777">
        <w:tc>
          <w:tcPr>
            <w:tcW w:w="2340" w:type="dxa"/>
          </w:tcPr>
          <w:p w14:paraId="143FAB90" w14:textId="77777777" w:rsidR="00FF27B6" w:rsidRDefault="00700A86">
            <w:r>
              <w:rPr>
                <w:sz w:val="17"/>
              </w:rPr>
              <w:t>S3 lakehouse</w:t>
            </w:r>
          </w:p>
        </w:tc>
        <w:tc>
          <w:tcPr>
            <w:tcW w:w="2340" w:type="dxa"/>
          </w:tcPr>
          <w:p w14:paraId="69A5820F" w14:textId="77777777" w:rsidR="00FF27B6" w:rsidRDefault="00700A86">
            <w:r>
              <w:rPr>
                <w:sz w:val="17"/>
              </w:rPr>
              <w:t>Versioning, Object Lock on Raw, lifecycle policies, optional cross-region replication for Raw and Curated zones.</w:t>
            </w:r>
          </w:p>
        </w:tc>
        <w:tc>
          <w:tcPr>
            <w:tcW w:w="2340" w:type="dxa"/>
          </w:tcPr>
          <w:p w14:paraId="0D7B75FC" w14:textId="77777777" w:rsidR="00FF27B6" w:rsidRDefault="00700A86">
            <w:r>
              <w:rPr>
                <w:sz w:val="17"/>
              </w:rPr>
              <w:t>15 min</w:t>
            </w:r>
          </w:p>
        </w:tc>
        <w:tc>
          <w:tcPr>
            <w:tcW w:w="2340" w:type="dxa"/>
          </w:tcPr>
          <w:p w14:paraId="5469F3AD" w14:textId="77777777" w:rsidR="00FF27B6" w:rsidRDefault="00700A86">
            <w:r>
              <w:rPr>
                <w:sz w:val="17"/>
              </w:rPr>
              <w:t>4 h</w:t>
            </w:r>
          </w:p>
        </w:tc>
      </w:tr>
      <w:tr w:rsidR="00FF27B6" w14:paraId="4767E813" w14:textId="77777777">
        <w:tc>
          <w:tcPr>
            <w:tcW w:w="2340" w:type="dxa"/>
          </w:tcPr>
          <w:p w14:paraId="07AAB9EE" w14:textId="77777777" w:rsidR="00FF27B6" w:rsidRDefault="00700A86">
            <w:r>
              <w:rPr>
                <w:sz w:val="17"/>
              </w:rPr>
              <w:t>Kinesis / Firehose</w:t>
            </w:r>
          </w:p>
        </w:tc>
        <w:tc>
          <w:tcPr>
            <w:tcW w:w="2340" w:type="dxa"/>
          </w:tcPr>
          <w:p w14:paraId="3BAB9808" w14:textId="77777777" w:rsidR="00FF27B6" w:rsidRDefault="00700A86">
            <w:r>
              <w:rPr>
                <w:sz w:val="17"/>
              </w:rPr>
              <w:t>Managed Multi-AZ stream, retries, failed-record S3 prefix, and replay from Raw zone.</w:t>
            </w:r>
          </w:p>
        </w:tc>
        <w:tc>
          <w:tcPr>
            <w:tcW w:w="2340" w:type="dxa"/>
          </w:tcPr>
          <w:p w14:paraId="40F44A11" w14:textId="77777777" w:rsidR="00FF27B6" w:rsidRDefault="00700A86">
            <w:r>
              <w:rPr>
                <w:sz w:val="17"/>
              </w:rPr>
              <w:t>&lt;5 min</w:t>
            </w:r>
          </w:p>
        </w:tc>
        <w:tc>
          <w:tcPr>
            <w:tcW w:w="2340" w:type="dxa"/>
          </w:tcPr>
          <w:p w14:paraId="76CA3BE0" w14:textId="77777777" w:rsidR="00FF27B6" w:rsidRDefault="00700A86">
            <w:r>
              <w:rPr>
                <w:sz w:val="17"/>
              </w:rPr>
              <w:t>&lt;1 h</w:t>
            </w:r>
          </w:p>
        </w:tc>
      </w:tr>
      <w:tr w:rsidR="00FF27B6" w14:paraId="33968B66" w14:textId="77777777">
        <w:tc>
          <w:tcPr>
            <w:tcW w:w="2340" w:type="dxa"/>
          </w:tcPr>
          <w:p w14:paraId="783F09B9" w14:textId="77777777" w:rsidR="00FF27B6" w:rsidRDefault="00700A86">
            <w:r>
              <w:rPr>
                <w:sz w:val="17"/>
              </w:rPr>
              <w:t>Glue / MWAA</w:t>
            </w:r>
          </w:p>
        </w:tc>
        <w:tc>
          <w:tcPr>
            <w:tcW w:w="2340" w:type="dxa"/>
          </w:tcPr>
          <w:p w14:paraId="256502D5" w14:textId="77777777" w:rsidR="00FF27B6" w:rsidRDefault="00700A86">
            <w:r>
              <w:rPr>
                <w:sz w:val="17"/>
              </w:rPr>
              <w:t>DAGs and jobs in Git, Terraform redeploy, Glue bookmarks, retries, and backfills.</w:t>
            </w:r>
          </w:p>
        </w:tc>
        <w:tc>
          <w:tcPr>
            <w:tcW w:w="2340" w:type="dxa"/>
          </w:tcPr>
          <w:p w14:paraId="2F2A6C56" w14:textId="77777777" w:rsidR="00FF27B6" w:rsidRDefault="00700A86">
            <w:r>
              <w:rPr>
                <w:sz w:val="17"/>
              </w:rPr>
              <w:t>Last successful checkpoint</w:t>
            </w:r>
          </w:p>
        </w:tc>
        <w:tc>
          <w:tcPr>
            <w:tcW w:w="2340" w:type="dxa"/>
          </w:tcPr>
          <w:p w14:paraId="098AF99C" w14:textId="77777777" w:rsidR="00FF27B6" w:rsidRDefault="00700A86">
            <w:r>
              <w:rPr>
                <w:sz w:val="17"/>
              </w:rPr>
              <w:t>4 h</w:t>
            </w:r>
          </w:p>
        </w:tc>
      </w:tr>
      <w:tr w:rsidR="00FF27B6" w14:paraId="06466C1F" w14:textId="77777777">
        <w:tc>
          <w:tcPr>
            <w:tcW w:w="2340" w:type="dxa"/>
          </w:tcPr>
          <w:p w14:paraId="316E8499" w14:textId="77777777" w:rsidR="00FF27B6" w:rsidRDefault="00700A86">
            <w:r>
              <w:rPr>
                <w:sz w:val="17"/>
              </w:rPr>
              <w:t>Redshift / Athena / QuickSight</w:t>
            </w:r>
          </w:p>
        </w:tc>
        <w:tc>
          <w:tcPr>
            <w:tcW w:w="2340" w:type="dxa"/>
          </w:tcPr>
          <w:p w14:paraId="77E1B26D" w14:textId="77777777" w:rsidR="00FF27B6" w:rsidRDefault="00700A86">
            <w:r>
              <w:rPr>
                <w:sz w:val="17"/>
              </w:rPr>
              <w:t>Automated Redshift snapshots, Spectrum over S3, and dashboards that can repoint to standby warehouse.</w:t>
            </w:r>
          </w:p>
        </w:tc>
        <w:tc>
          <w:tcPr>
            <w:tcW w:w="2340" w:type="dxa"/>
          </w:tcPr>
          <w:p w14:paraId="2886FF6D" w14:textId="77777777" w:rsidR="00FF27B6" w:rsidRDefault="00700A86">
            <w:r>
              <w:rPr>
                <w:sz w:val="17"/>
              </w:rPr>
              <w:t>15 min-24 h by data mart</w:t>
            </w:r>
          </w:p>
        </w:tc>
        <w:tc>
          <w:tcPr>
            <w:tcW w:w="2340" w:type="dxa"/>
          </w:tcPr>
          <w:p w14:paraId="5E01CDF1" w14:textId="77777777" w:rsidR="00FF27B6" w:rsidRDefault="00700A86">
            <w:r>
              <w:rPr>
                <w:sz w:val="17"/>
              </w:rPr>
              <w:t>4-8 h</w:t>
            </w:r>
          </w:p>
        </w:tc>
      </w:tr>
      <w:tr w:rsidR="00FF27B6" w14:paraId="104E8BEB" w14:textId="77777777">
        <w:tc>
          <w:tcPr>
            <w:tcW w:w="2340" w:type="dxa"/>
          </w:tcPr>
          <w:p w14:paraId="56AEA55F" w14:textId="77777777" w:rsidR="00FF27B6" w:rsidRDefault="00700A86">
            <w:r>
              <w:rPr>
                <w:sz w:val="17"/>
              </w:rPr>
              <w:t>DynamoDB / APIs</w:t>
            </w:r>
          </w:p>
        </w:tc>
        <w:tc>
          <w:tcPr>
            <w:tcW w:w="2340" w:type="dxa"/>
          </w:tcPr>
          <w:p w14:paraId="050B0BA0" w14:textId="77777777" w:rsidR="00FF27B6" w:rsidRDefault="00700A86">
            <w:r>
              <w:rPr>
                <w:sz w:val="17"/>
              </w:rPr>
              <w:t>Point-in-time recovery, autoscaling, and optional global tables for customer-facing APIs.</w:t>
            </w:r>
          </w:p>
        </w:tc>
        <w:tc>
          <w:tcPr>
            <w:tcW w:w="2340" w:type="dxa"/>
          </w:tcPr>
          <w:p w14:paraId="13C9B200" w14:textId="77777777" w:rsidR="00FF27B6" w:rsidRDefault="00700A86">
            <w:r>
              <w:rPr>
                <w:sz w:val="17"/>
              </w:rPr>
              <w:t>&lt;5 min</w:t>
            </w:r>
          </w:p>
        </w:tc>
        <w:tc>
          <w:tcPr>
            <w:tcW w:w="2340" w:type="dxa"/>
          </w:tcPr>
          <w:p w14:paraId="3BBE584E" w14:textId="77777777" w:rsidR="00FF27B6" w:rsidRDefault="00700A86">
            <w:r>
              <w:rPr>
                <w:sz w:val="17"/>
              </w:rPr>
              <w:t>&lt;1 h</w:t>
            </w:r>
          </w:p>
        </w:tc>
      </w:tr>
    </w:tbl>
    <w:p w14:paraId="305A7935" w14:textId="77777777" w:rsidR="00FF27B6" w:rsidRDefault="00700A86">
      <w:pPr>
        <w:pStyle w:val="Heading3"/>
      </w:pPr>
      <w:r>
        <w:rPr>
          <w:b/>
        </w:rPr>
        <w:t>R5 Data Quality Rule Examples</w:t>
      </w:r>
    </w:p>
    <w:tbl>
      <w:tblPr>
        <w:tblW w:w="0" w:type="auto"/>
        <w:tblCellMar>
          <w:left w:w="10" w:type="dxa"/>
          <w:right w:w="10" w:type="dxa"/>
        </w:tblCellMar>
        <w:tblLook w:val="04A0" w:firstRow="1" w:lastRow="0" w:firstColumn="1" w:lastColumn="0" w:noHBand="0" w:noVBand="1"/>
      </w:tblPr>
      <w:tblGrid>
        <w:gridCol w:w="4680"/>
        <w:gridCol w:w="4680"/>
      </w:tblGrid>
      <w:tr w:rsidR="00FF27B6" w14:paraId="789A0E67" w14:textId="77777777">
        <w:tc>
          <w:tcPr>
            <w:tcW w:w="4680" w:type="dxa"/>
          </w:tcPr>
          <w:p w14:paraId="19E8C0FF" w14:textId="77777777" w:rsidR="00FF27B6" w:rsidRDefault="00700A86">
            <w:r>
              <w:rPr>
                <w:b/>
                <w:sz w:val="17"/>
              </w:rPr>
              <w:t>Dataset</w:t>
            </w:r>
          </w:p>
        </w:tc>
        <w:tc>
          <w:tcPr>
            <w:tcW w:w="4680" w:type="dxa"/>
          </w:tcPr>
          <w:p w14:paraId="1140A8D8" w14:textId="77777777" w:rsidR="00FF27B6" w:rsidRDefault="00700A86">
            <w:r>
              <w:rPr>
                <w:b/>
                <w:sz w:val="17"/>
              </w:rPr>
              <w:t>Concrete data quality controls</w:t>
            </w:r>
          </w:p>
        </w:tc>
      </w:tr>
      <w:tr w:rsidR="00FF27B6" w14:paraId="54028E1A" w14:textId="77777777">
        <w:tc>
          <w:tcPr>
            <w:tcW w:w="4680" w:type="dxa"/>
          </w:tcPr>
          <w:p w14:paraId="49277E80" w14:textId="77777777" w:rsidR="00FF27B6" w:rsidRDefault="00700A86">
            <w:r>
              <w:rPr>
                <w:sz w:val="17"/>
              </w:rPr>
              <w:t>sales_sample.csv</w:t>
            </w:r>
          </w:p>
        </w:tc>
        <w:tc>
          <w:tcPr>
            <w:tcW w:w="4680" w:type="dxa"/>
          </w:tcPr>
          <w:p w14:paraId="0B2CE2B9" w14:textId="77777777" w:rsidR="00FF27B6" w:rsidRDefault="00700A86">
            <w:r>
              <w:rPr>
                <w:sz w:val="17"/>
              </w:rPr>
              <w:t>purchase_price &gt; 0; customer_id completeness &gt; 99%; product_id referential integrity to inventory.</w:t>
            </w:r>
          </w:p>
        </w:tc>
      </w:tr>
      <w:tr w:rsidR="00FF27B6" w14:paraId="70329917" w14:textId="77777777">
        <w:tc>
          <w:tcPr>
            <w:tcW w:w="4680" w:type="dxa"/>
          </w:tcPr>
          <w:p w14:paraId="01124C72" w14:textId="77777777" w:rsidR="00FF27B6" w:rsidRDefault="00700A86">
            <w:r>
              <w:rPr>
                <w:sz w:val="17"/>
              </w:rPr>
              <w:t>customers_sample.csv</w:t>
            </w:r>
          </w:p>
        </w:tc>
        <w:tc>
          <w:tcPr>
            <w:tcW w:w="4680" w:type="dxa"/>
          </w:tcPr>
          <w:p w14:paraId="360B7274" w14:textId="77777777" w:rsidR="00FF27B6" w:rsidRDefault="00700A86">
            <w:r>
              <w:rPr>
                <w:sz w:val="17"/>
              </w:rPr>
              <w:t>customer_id complete and unique; age between 13 and 100; PII detection before non-prod replication.</w:t>
            </w:r>
          </w:p>
        </w:tc>
      </w:tr>
      <w:tr w:rsidR="00FF27B6" w14:paraId="5B89D7C4" w14:textId="77777777">
        <w:tc>
          <w:tcPr>
            <w:tcW w:w="4680" w:type="dxa"/>
          </w:tcPr>
          <w:p w14:paraId="60280190" w14:textId="77777777" w:rsidR="00FF27B6" w:rsidRDefault="00700A86">
            <w:r>
              <w:rPr>
                <w:sz w:val="17"/>
              </w:rPr>
              <w:t>inventory_sample.csv</w:t>
            </w:r>
          </w:p>
        </w:tc>
        <w:tc>
          <w:tcPr>
            <w:tcW w:w="4680" w:type="dxa"/>
          </w:tcPr>
          <w:p w14:paraId="79D0D50A" w14:textId="77777777" w:rsidR="00FF27B6" w:rsidRDefault="00700A86">
            <w:r>
              <w:rPr>
                <w:sz w:val="17"/>
              </w:rPr>
              <w:t>stock &gt;= 0; price &gt; 0; product_description completeness &gt; 95%.</w:t>
            </w:r>
          </w:p>
        </w:tc>
      </w:tr>
      <w:tr w:rsidR="00FF27B6" w14:paraId="7D62BB06" w14:textId="77777777">
        <w:tc>
          <w:tcPr>
            <w:tcW w:w="4680" w:type="dxa"/>
          </w:tcPr>
          <w:p w14:paraId="52277336" w14:textId="77777777" w:rsidR="00FF27B6" w:rsidRDefault="00700A86">
            <w:r>
              <w:rPr>
                <w:sz w:val="17"/>
              </w:rPr>
              <w:t>customer_reviews_sample.csv</w:t>
            </w:r>
          </w:p>
        </w:tc>
        <w:tc>
          <w:tcPr>
            <w:tcW w:w="4680" w:type="dxa"/>
          </w:tcPr>
          <w:p w14:paraId="4E7BC5DE" w14:textId="77777777" w:rsidR="00FF27B6" w:rsidRDefault="00700A86">
            <w:r>
              <w:rPr>
                <w:sz w:val="17"/>
              </w:rPr>
              <w:t>Review text length between 5 and 2,000 characters; rating between 1 and 5; product/customer IDs complete.</w:t>
            </w:r>
          </w:p>
        </w:tc>
      </w:tr>
      <w:tr w:rsidR="00FF27B6" w14:paraId="5E239044" w14:textId="77777777">
        <w:tc>
          <w:tcPr>
            <w:tcW w:w="4680" w:type="dxa"/>
          </w:tcPr>
          <w:p w14:paraId="4FADCC2A" w14:textId="77777777" w:rsidR="00FF27B6" w:rsidRDefault="00700A86">
            <w:r>
              <w:rPr>
                <w:sz w:val="17"/>
              </w:rPr>
              <w:t>external_factors_sample.csv</w:t>
            </w:r>
          </w:p>
        </w:tc>
        <w:tc>
          <w:tcPr>
            <w:tcW w:w="4680" w:type="dxa"/>
          </w:tcPr>
          <w:p w14:paraId="597E522E" w14:textId="77777777" w:rsidR="00FF27B6" w:rsidRDefault="00700A86">
            <w:r>
              <w:rPr>
                <w:sz w:val="17"/>
              </w:rPr>
              <w:t>date complete and unique; fuel price positive; campaign IDs conform to agreed pattern when present.</w:t>
            </w:r>
          </w:p>
        </w:tc>
      </w:tr>
      <w:tr w:rsidR="00FF27B6" w14:paraId="6B78533D" w14:textId="77777777">
        <w:tc>
          <w:tcPr>
            <w:tcW w:w="4680" w:type="dxa"/>
          </w:tcPr>
          <w:p w14:paraId="15626D94" w14:textId="77777777" w:rsidR="00FF27B6" w:rsidRDefault="00700A86">
            <w:r>
              <w:rPr>
                <w:sz w:val="17"/>
              </w:rPr>
              <w:t>shipping_sample.csv</w:t>
            </w:r>
          </w:p>
        </w:tc>
        <w:tc>
          <w:tcPr>
            <w:tcW w:w="4680" w:type="dxa"/>
          </w:tcPr>
          <w:p w14:paraId="7C127751" w14:textId="77777777" w:rsidR="00FF27B6" w:rsidRDefault="00700A86">
            <w:r>
              <w:rPr>
                <w:sz w:val="17"/>
              </w:rPr>
              <w:t>order ID complete; actual shipping cost non-negative; returned flag limited to true/false values.</w:t>
            </w:r>
          </w:p>
        </w:tc>
      </w:tr>
    </w:tbl>
    <w:p w14:paraId="021E2BE6" w14:textId="77777777" w:rsidR="00FF27B6" w:rsidRDefault="00700A86">
      <w:pPr>
        <w:pStyle w:val="Heading3"/>
      </w:pPr>
      <w:r>
        <w:rPr>
          <w:b/>
        </w:rPr>
        <w:t>Data Lifecycle and Retention Matrix</w:t>
      </w:r>
    </w:p>
    <w:tbl>
      <w:tblPr>
        <w:tblW w:w="0" w:type="auto"/>
        <w:tblCellMar>
          <w:left w:w="10" w:type="dxa"/>
          <w:right w:w="10" w:type="dxa"/>
        </w:tblCellMar>
        <w:tblLook w:val="04A0" w:firstRow="1" w:lastRow="0" w:firstColumn="1" w:lastColumn="0" w:noHBand="0" w:noVBand="1"/>
      </w:tblPr>
      <w:tblGrid>
        <w:gridCol w:w="1872"/>
        <w:gridCol w:w="1872"/>
        <w:gridCol w:w="1872"/>
        <w:gridCol w:w="1872"/>
        <w:gridCol w:w="1872"/>
      </w:tblGrid>
      <w:tr w:rsidR="00FF27B6" w14:paraId="1034249D" w14:textId="77777777">
        <w:tc>
          <w:tcPr>
            <w:tcW w:w="1872" w:type="dxa"/>
          </w:tcPr>
          <w:p w14:paraId="5A86B6D9" w14:textId="77777777" w:rsidR="00FF27B6" w:rsidRDefault="00700A86">
            <w:r>
              <w:rPr>
                <w:b/>
                <w:sz w:val="17"/>
              </w:rPr>
              <w:t>Dataset</w:t>
            </w:r>
          </w:p>
        </w:tc>
        <w:tc>
          <w:tcPr>
            <w:tcW w:w="1872" w:type="dxa"/>
          </w:tcPr>
          <w:p w14:paraId="7D2187AF" w14:textId="77777777" w:rsidR="00FF27B6" w:rsidRDefault="00700A86">
            <w:r>
              <w:rPr>
                <w:b/>
                <w:sz w:val="17"/>
              </w:rPr>
              <w:t>Sensitivity</w:t>
            </w:r>
          </w:p>
        </w:tc>
        <w:tc>
          <w:tcPr>
            <w:tcW w:w="1872" w:type="dxa"/>
          </w:tcPr>
          <w:p w14:paraId="0A5F4827" w14:textId="77777777" w:rsidR="00FF27B6" w:rsidRDefault="00700A86">
            <w:r>
              <w:rPr>
                <w:b/>
                <w:sz w:val="17"/>
              </w:rPr>
              <w:t>Raw zone</w:t>
            </w:r>
          </w:p>
        </w:tc>
        <w:tc>
          <w:tcPr>
            <w:tcW w:w="1872" w:type="dxa"/>
          </w:tcPr>
          <w:p w14:paraId="045FB226" w14:textId="77777777" w:rsidR="00FF27B6" w:rsidRDefault="00700A86">
            <w:r>
              <w:rPr>
                <w:b/>
                <w:sz w:val="17"/>
              </w:rPr>
              <w:t>Curated / Serving</w:t>
            </w:r>
          </w:p>
        </w:tc>
        <w:tc>
          <w:tcPr>
            <w:tcW w:w="1872" w:type="dxa"/>
          </w:tcPr>
          <w:p w14:paraId="66421533" w14:textId="77777777" w:rsidR="00FF27B6" w:rsidRDefault="00700A86">
            <w:r>
              <w:rPr>
                <w:b/>
                <w:sz w:val="17"/>
              </w:rPr>
              <w:t>Archive / deletion policy</w:t>
            </w:r>
          </w:p>
        </w:tc>
      </w:tr>
      <w:tr w:rsidR="00FF27B6" w14:paraId="5275D705" w14:textId="77777777">
        <w:tc>
          <w:tcPr>
            <w:tcW w:w="1872" w:type="dxa"/>
          </w:tcPr>
          <w:p w14:paraId="3B6D61C5" w14:textId="77777777" w:rsidR="00FF27B6" w:rsidRDefault="00700A86">
            <w:r>
              <w:rPr>
                <w:sz w:val="17"/>
              </w:rPr>
              <w:t>Sales</w:t>
            </w:r>
          </w:p>
        </w:tc>
        <w:tc>
          <w:tcPr>
            <w:tcW w:w="1872" w:type="dxa"/>
          </w:tcPr>
          <w:p w14:paraId="6E4C8806" w14:textId="77777777" w:rsidR="00FF27B6" w:rsidRDefault="00700A86">
            <w:r>
              <w:rPr>
                <w:sz w:val="17"/>
              </w:rPr>
              <w:t>Tokenized customer IDs; financial records</w:t>
            </w:r>
          </w:p>
        </w:tc>
        <w:tc>
          <w:tcPr>
            <w:tcW w:w="1872" w:type="dxa"/>
          </w:tcPr>
          <w:p w14:paraId="090B36A2" w14:textId="77777777" w:rsidR="00FF27B6" w:rsidRDefault="00700A86">
            <w:r>
              <w:rPr>
                <w:sz w:val="17"/>
              </w:rPr>
              <w:t>7 years</w:t>
            </w:r>
          </w:p>
        </w:tc>
        <w:tc>
          <w:tcPr>
            <w:tcW w:w="1872" w:type="dxa"/>
          </w:tcPr>
          <w:p w14:paraId="0E3BA06C" w14:textId="77777777" w:rsidR="00FF27B6" w:rsidRDefault="00700A86">
            <w:r>
              <w:rPr>
                <w:sz w:val="17"/>
              </w:rPr>
              <w:t>5 years curated; 3 years serving aggregates</w:t>
            </w:r>
          </w:p>
        </w:tc>
        <w:tc>
          <w:tcPr>
            <w:tcW w:w="1872" w:type="dxa"/>
          </w:tcPr>
          <w:p w14:paraId="20861239" w14:textId="77777777" w:rsidR="00FF27B6" w:rsidRDefault="00700A86">
            <w:r>
              <w:rPr>
                <w:sz w:val="17"/>
              </w:rPr>
              <w:t>IA after 90 days, Glacier after 365 days; preserve finance aggregates.</w:t>
            </w:r>
          </w:p>
        </w:tc>
      </w:tr>
      <w:tr w:rsidR="00FF27B6" w14:paraId="1271636C" w14:textId="77777777">
        <w:tc>
          <w:tcPr>
            <w:tcW w:w="1872" w:type="dxa"/>
          </w:tcPr>
          <w:p w14:paraId="0DC6AB25" w14:textId="77777777" w:rsidR="00FF27B6" w:rsidRDefault="00700A86">
            <w:r>
              <w:rPr>
                <w:sz w:val="17"/>
              </w:rPr>
              <w:t>Customers</w:t>
            </w:r>
          </w:p>
        </w:tc>
        <w:tc>
          <w:tcPr>
            <w:tcW w:w="1872" w:type="dxa"/>
          </w:tcPr>
          <w:p w14:paraId="19A05321" w14:textId="77777777" w:rsidR="00FF27B6" w:rsidRDefault="00700A86">
            <w:r>
              <w:rPr>
                <w:sz w:val="17"/>
              </w:rPr>
              <w:t>Direct PII</w:t>
            </w:r>
          </w:p>
        </w:tc>
        <w:tc>
          <w:tcPr>
            <w:tcW w:w="1872" w:type="dxa"/>
          </w:tcPr>
          <w:p w14:paraId="36A1E4AB" w14:textId="77777777" w:rsidR="00FF27B6" w:rsidRDefault="00700A86">
            <w:r>
              <w:rPr>
                <w:sz w:val="17"/>
              </w:rPr>
              <w:t>Active relationship plus 24 months</w:t>
            </w:r>
          </w:p>
        </w:tc>
        <w:tc>
          <w:tcPr>
            <w:tcW w:w="1872" w:type="dxa"/>
          </w:tcPr>
          <w:p w14:paraId="7BCE3920" w14:textId="77777777" w:rsidR="00FF27B6" w:rsidRDefault="00700A86">
            <w:r>
              <w:rPr>
                <w:sz w:val="17"/>
              </w:rPr>
              <w:t>Masked/tokenized in curated; non-prod receives anonymized samples only</w:t>
            </w:r>
          </w:p>
        </w:tc>
        <w:tc>
          <w:tcPr>
            <w:tcW w:w="1872" w:type="dxa"/>
          </w:tcPr>
          <w:p w14:paraId="31728BFE" w14:textId="77777777" w:rsidR="00FF27B6" w:rsidRDefault="00700A86">
            <w:r>
              <w:rPr>
                <w:sz w:val="17"/>
              </w:rPr>
              <w:t>Right-to-erasure workflow tokenizes or deletes PII within 30 days, subject to legal hold.</w:t>
            </w:r>
          </w:p>
        </w:tc>
      </w:tr>
      <w:tr w:rsidR="00FF27B6" w14:paraId="4C35D057" w14:textId="77777777">
        <w:tc>
          <w:tcPr>
            <w:tcW w:w="1872" w:type="dxa"/>
          </w:tcPr>
          <w:p w14:paraId="22FFD90A" w14:textId="77777777" w:rsidR="00FF27B6" w:rsidRDefault="00700A86">
            <w:r>
              <w:rPr>
                <w:sz w:val="17"/>
              </w:rPr>
              <w:t>Inventory</w:t>
            </w:r>
          </w:p>
        </w:tc>
        <w:tc>
          <w:tcPr>
            <w:tcW w:w="1872" w:type="dxa"/>
          </w:tcPr>
          <w:p w14:paraId="4C360DF4" w14:textId="77777777" w:rsidR="00FF27B6" w:rsidRDefault="00700A86">
            <w:r>
              <w:rPr>
                <w:sz w:val="17"/>
              </w:rPr>
              <w:t>No PII</w:t>
            </w:r>
          </w:p>
        </w:tc>
        <w:tc>
          <w:tcPr>
            <w:tcW w:w="1872" w:type="dxa"/>
          </w:tcPr>
          <w:p w14:paraId="50C221C1" w14:textId="77777777" w:rsidR="00FF27B6" w:rsidRDefault="00700A86">
            <w:r>
              <w:rPr>
                <w:sz w:val="17"/>
              </w:rPr>
              <w:t>5 years</w:t>
            </w:r>
          </w:p>
        </w:tc>
        <w:tc>
          <w:tcPr>
            <w:tcW w:w="1872" w:type="dxa"/>
          </w:tcPr>
          <w:p w14:paraId="4295DA55" w14:textId="77777777" w:rsidR="00FF27B6" w:rsidRDefault="00700A86">
            <w:r>
              <w:rPr>
                <w:sz w:val="17"/>
              </w:rPr>
              <w:t>3 years curated and serving</w:t>
            </w:r>
          </w:p>
        </w:tc>
        <w:tc>
          <w:tcPr>
            <w:tcW w:w="1872" w:type="dxa"/>
          </w:tcPr>
          <w:p w14:paraId="09E5B3F7" w14:textId="77777777" w:rsidR="00FF27B6" w:rsidRDefault="00700A86">
            <w:r>
              <w:rPr>
                <w:sz w:val="17"/>
              </w:rPr>
              <w:t>IA after 180 days; expire obsolete product snapshots after retention.</w:t>
            </w:r>
          </w:p>
        </w:tc>
      </w:tr>
      <w:tr w:rsidR="00FF27B6" w14:paraId="2EC450CD" w14:textId="77777777">
        <w:tc>
          <w:tcPr>
            <w:tcW w:w="1872" w:type="dxa"/>
          </w:tcPr>
          <w:p w14:paraId="478669A1" w14:textId="77777777" w:rsidR="00FF27B6" w:rsidRDefault="00700A86">
            <w:r>
              <w:rPr>
                <w:sz w:val="17"/>
              </w:rPr>
              <w:t>Customer reviews</w:t>
            </w:r>
          </w:p>
        </w:tc>
        <w:tc>
          <w:tcPr>
            <w:tcW w:w="1872" w:type="dxa"/>
          </w:tcPr>
          <w:p w14:paraId="0A8F1F08" w14:textId="77777777" w:rsidR="00FF27B6" w:rsidRDefault="00700A86">
            <w:r>
              <w:rPr>
                <w:sz w:val="17"/>
              </w:rPr>
              <w:t>PII risk in text/images</w:t>
            </w:r>
          </w:p>
        </w:tc>
        <w:tc>
          <w:tcPr>
            <w:tcW w:w="1872" w:type="dxa"/>
          </w:tcPr>
          <w:p w14:paraId="2FA62BB5" w14:textId="77777777" w:rsidR="00FF27B6" w:rsidRDefault="00700A86">
            <w:r>
              <w:rPr>
                <w:sz w:val="17"/>
              </w:rPr>
              <w:t>3 years</w:t>
            </w:r>
          </w:p>
        </w:tc>
        <w:tc>
          <w:tcPr>
            <w:tcW w:w="1872" w:type="dxa"/>
          </w:tcPr>
          <w:p w14:paraId="14E78244" w14:textId="77777777" w:rsidR="00FF27B6" w:rsidRDefault="00700A86">
            <w:r>
              <w:rPr>
                <w:sz w:val="17"/>
              </w:rPr>
              <w:t>3 years curated sentiment/features</w:t>
            </w:r>
          </w:p>
        </w:tc>
        <w:tc>
          <w:tcPr>
            <w:tcW w:w="1872" w:type="dxa"/>
          </w:tcPr>
          <w:p w14:paraId="107D376F" w14:textId="77777777" w:rsidR="00FF27B6" w:rsidRDefault="00700A86">
            <w:r>
              <w:rPr>
                <w:sz w:val="17"/>
              </w:rPr>
              <w:t>PII scan on landing; remove or anonymize review content on customer request.</w:t>
            </w:r>
          </w:p>
        </w:tc>
      </w:tr>
      <w:tr w:rsidR="00FF27B6" w14:paraId="15267C45" w14:textId="77777777">
        <w:tc>
          <w:tcPr>
            <w:tcW w:w="1872" w:type="dxa"/>
          </w:tcPr>
          <w:p w14:paraId="3C5C9A25" w14:textId="77777777" w:rsidR="00FF27B6" w:rsidRDefault="00700A86">
            <w:r>
              <w:rPr>
                <w:sz w:val="17"/>
              </w:rPr>
              <w:t>External factors</w:t>
            </w:r>
          </w:p>
        </w:tc>
        <w:tc>
          <w:tcPr>
            <w:tcW w:w="1872" w:type="dxa"/>
          </w:tcPr>
          <w:p w14:paraId="479256D5" w14:textId="77777777" w:rsidR="00FF27B6" w:rsidRDefault="00700A86">
            <w:r>
              <w:rPr>
                <w:sz w:val="17"/>
              </w:rPr>
              <w:t>No PII</w:t>
            </w:r>
          </w:p>
        </w:tc>
        <w:tc>
          <w:tcPr>
            <w:tcW w:w="1872" w:type="dxa"/>
          </w:tcPr>
          <w:p w14:paraId="5419F79A" w14:textId="77777777" w:rsidR="00FF27B6" w:rsidRDefault="00700A86">
            <w:r>
              <w:rPr>
                <w:sz w:val="17"/>
              </w:rPr>
              <w:t>5 years</w:t>
            </w:r>
          </w:p>
        </w:tc>
        <w:tc>
          <w:tcPr>
            <w:tcW w:w="1872" w:type="dxa"/>
          </w:tcPr>
          <w:p w14:paraId="033CC111" w14:textId="77777777" w:rsidR="00FF27B6" w:rsidRDefault="00700A86">
            <w:r>
              <w:rPr>
                <w:sz w:val="17"/>
              </w:rPr>
              <w:t>5 years curated</w:t>
            </w:r>
          </w:p>
        </w:tc>
        <w:tc>
          <w:tcPr>
            <w:tcW w:w="1872" w:type="dxa"/>
          </w:tcPr>
          <w:p w14:paraId="4CC74ECA" w14:textId="77777777" w:rsidR="00FF27B6" w:rsidRDefault="00700A86">
            <w:r>
              <w:rPr>
                <w:sz w:val="17"/>
              </w:rPr>
              <w:t>IA after 180 days; retain for forecast reproducibility.</w:t>
            </w:r>
          </w:p>
        </w:tc>
      </w:tr>
      <w:tr w:rsidR="00FF27B6" w14:paraId="3AC5DEE1" w14:textId="77777777">
        <w:tc>
          <w:tcPr>
            <w:tcW w:w="1872" w:type="dxa"/>
          </w:tcPr>
          <w:p w14:paraId="007A283B" w14:textId="77777777" w:rsidR="00FF27B6" w:rsidRDefault="00700A86">
            <w:r>
              <w:rPr>
                <w:sz w:val="17"/>
              </w:rPr>
              <w:t>Shipping</w:t>
            </w:r>
          </w:p>
        </w:tc>
        <w:tc>
          <w:tcPr>
            <w:tcW w:w="1872" w:type="dxa"/>
          </w:tcPr>
          <w:p w14:paraId="696605A5" w14:textId="77777777" w:rsidR="00FF27B6" w:rsidRDefault="00700A86">
            <w:r>
              <w:rPr>
                <w:sz w:val="17"/>
              </w:rPr>
              <w:t>Address PII and cost records</w:t>
            </w:r>
          </w:p>
        </w:tc>
        <w:tc>
          <w:tcPr>
            <w:tcW w:w="1872" w:type="dxa"/>
          </w:tcPr>
          <w:p w14:paraId="09F37D36" w14:textId="77777777" w:rsidR="00FF27B6" w:rsidRDefault="00700A86">
            <w:r>
              <w:rPr>
                <w:sz w:val="17"/>
              </w:rPr>
              <w:t>6 years</w:t>
            </w:r>
          </w:p>
        </w:tc>
        <w:tc>
          <w:tcPr>
            <w:tcW w:w="1872" w:type="dxa"/>
          </w:tcPr>
          <w:p w14:paraId="5D173FA1" w14:textId="77777777" w:rsidR="00FF27B6" w:rsidRDefault="00700A86">
            <w:r>
              <w:rPr>
                <w:sz w:val="17"/>
              </w:rPr>
              <w:t>3 years curated with addresses masked</w:t>
            </w:r>
          </w:p>
        </w:tc>
        <w:tc>
          <w:tcPr>
            <w:tcW w:w="1872" w:type="dxa"/>
          </w:tcPr>
          <w:p w14:paraId="5FF0FA79" w14:textId="77777777" w:rsidR="00FF27B6" w:rsidRDefault="00700A86">
            <w:r>
              <w:rPr>
                <w:sz w:val="17"/>
              </w:rPr>
              <w:t>IA after 90 days, Glacier after 365 days; delete/mask addresses under privacy workflow.</w:t>
            </w:r>
          </w:p>
        </w:tc>
      </w:tr>
    </w:tbl>
    <w:p w14:paraId="54043F4B" w14:textId="77777777" w:rsidR="00700A86" w:rsidRDefault="00700A86"/>
    <w:sectPr w:rsidR="00700A86">
      <w:footerReference w:type="default" r:id="rId10"/>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FC82B" w14:textId="77777777" w:rsidR="0017122B" w:rsidRDefault="0017122B">
      <w:r>
        <w:separator/>
      </w:r>
    </w:p>
  </w:endnote>
  <w:endnote w:type="continuationSeparator" w:id="0">
    <w:p w14:paraId="7D1F2F1C" w14:textId="77777777" w:rsidR="0017122B" w:rsidRDefault="00171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66DA" w14:textId="77777777" w:rsidR="00FF27B6" w:rsidRDefault="00700A86">
    <w:pPr>
      <w:pBdr>
        <w:top w:val="single" w:sz="4" w:space="6" w:color="2E75B6"/>
      </w:pBdr>
      <w:jc w:val="center"/>
    </w:pPr>
    <w:r>
      <w:rPr>
        <w:color w:val="595959"/>
        <w:sz w:val="16"/>
        <w:szCs w:val="16"/>
      </w:rPr>
      <w:t xml:space="preserve">CloudCore Solutions — Manga DataHub Proposal — Confidential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F138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BEF48" w14:textId="77777777" w:rsidR="0017122B" w:rsidRDefault="0017122B">
      <w:r>
        <w:separator/>
      </w:r>
    </w:p>
  </w:footnote>
  <w:footnote w:type="continuationSeparator" w:id="0">
    <w:p w14:paraId="63CDB9B5" w14:textId="77777777" w:rsidR="0017122B" w:rsidRDefault="00171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8054A"/>
    <w:multiLevelType w:val="hybridMultilevel"/>
    <w:tmpl w:val="39502C42"/>
    <w:lvl w:ilvl="0" w:tplc="3E7EF846">
      <w:start w:val="1"/>
      <w:numFmt w:val="bullet"/>
      <w:lvlText w:val="•"/>
      <w:lvlJc w:val="left"/>
      <w:pPr>
        <w:ind w:left="480" w:hanging="240"/>
      </w:pPr>
    </w:lvl>
    <w:lvl w:ilvl="1" w:tplc="5BCACDAC">
      <w:numFmt w:val="decimal"/>
      <w:lvlText w:val=""/>
      <w:lvlJc w:val="left"/>
    </w:lvl>
    <w:lvl w:ilvl="2" w:tplc="D3701466">
      <w:numFmt w:val="decimal"/>
      <w:lvlText w:val=""/>
      <w:lvlJc w:val="left"/>
    </w:lvl>
    <w:lvl w:ilvl="3" w:tplc="05BC6AE4">
      <w:numFmt w:val="decimal"/>
      <w:lvlText w:val=""/>
      <w:lvlJc w:val="left"/>
    </w:lvl>
    <w:lvl w:ilvl="4" w:tplc="473AE11C">
      <w:numFmt w:val="decimal"/>
      <w:lvlText w:val=""/>
      <w:lvlJc w:val="left"/>
    </w:lvl>
    <w:lvl w:ilvl="5" w:tplc="6DB05B74">
      <w:numFmt w:val="decimal"/>
      <w:lvlText w:val=""/>
      <w:lvlJc w:val="left"/>
    </w:lvl>
    <w:lvl w:ilvl="6" w:tplc="E97863D2">
      <w:numFmt w:val="decimal"/>
      <w:lvlText w:val=""/>
      <w:lvlJc w:val="left"/>
    </w:lvl>
    <w:lvl w:ilvl="7" w:tplc="E2D24346">
      <w:numFmt w:val="decimal"/>
      <w:lvlText w:val=""/>
      <w:lvlJc w:val="left"/>
    </w:lvl>
    <w:lvl w:ilvl="8" w:tplc="385C6CBE">
      <w:numFmt w:val="decimal"/>
      <w:lvlText w:val=""/>
      <w:lvlJc w:val="left"/>
    </w:lvl>
  </w:abstractNum>
  <w:abstractNum w:abstractNumId="1" w15:restartNumberingAfterBreak="0">
    <w:nsid w:val="5CDA6929"/>
    <w:multiLevelType w:val="hybridMultilevel"/>
    <w:tmpl w:val="5C90916A"/>
    <w:lvl w:ilvl="0" w:tplc="0F3235C4">
      <w:start w:val="1"/>
      <w:numFmt w:val="bullet"/>
      <w:lvlText w:val="●"/>
      <w:lvlJc w:val="left"/>
      <w:pPr>
        <w:ind w:left="720" w:hanging="360"/>
      </w:pPr>
    </w:lvl>
    <w:lvl w:ilvl="1" w:tplc="1A548C1E">
      <w:start w:val="1"/>
      <w:numFmt w:val="bullet"/>
      <w:lvlText w:val="○"/>
      <w:lvlJc w:val="left"/>
      <w:pPr>
        <w:ind w:left="1440" w:hanging="360"/>
      </w:pPr>
    </w:lvl>
    <w:lvl w:ilvl="2" w:tplc="E78C6256">
      <w:start w:val="1"/>
      <w:numFmt w:val="bullet"/>
      <w:lvlText w:val="■"/>
      <w:lvlJc w:val="left"/>
      <w:pPr>
        <w:ind w:left="2160" w:hanging="360"/>
      </w:pPr>
    </w:lvl>
    <w:lvl w:ilvl="3" w:tplc="E9504BD8">
      <w:start w:val="1"/>
      <w:numFmt w:val="bullet"/>
      <w:lvlText w:val="●"/>
      <w:lvlJc w:val="left"/>
      <w:pPr>
        <w:ind w:left="2880" w:hanging="360"/>
      </w:pPr>
    </w:lvl>
    <w:lvl w:ilvl="4" w:tplc="139E1610">
      <w:start w:val="1"/>
      <w:numFmt w:val="bullet"/>
      <w:lvlText w:val="○"/>
      <w:lvlJc w:val="left"/>
      <w:pPr>
        <w:ind w:left="3600" w:hanging="360"/>
      </w:pPr>
    </w:lvl>
    <w:lvl w:ilvl="5" w:tplc="CFDE2FF8">
      <w:start w:val="1"/>
      <w:numFmt w:val="bullet"/>
      <w:lvlText w:val="■"/>
      <w:lvlJc w:val="left"/>
      <w:pPr>
        <w:ind w:left="4320" w:hanging="360"/>
      </w:pPr>
    </w:lvl>
    <w:lvl w:ilvl="6" w:tplc="834A42CA">
      <w:start w:val="1"/>
      <w:numFmt w:val="bullet"/>
      <w:lvlText w:val="●"/>
      <w:lvlJc w:val="left"/>
      <w:pPr>
        <w:ind w:left="5040" w:hanging="360"/>
      </w:pPr>
    </w:lvl>
    <w:lvl w:ilvl="7" w:tplc="BCCEE1D4">
      <w:start w:val="1"/>
      <w:numFmt w:val="bullet"/>
      <w:lvlText w:val="●"/>
      <w:lvlJc w:val="left"/>
      <w:pPr>
        <w:ind w:left="5760" w:hanging="360"/>
      </w:pPr>
    </w:lvl>
    <w:lvl w:ilvl="8" w:tplc="4634879A">
      <w:start w:val="1"/>
      <w:numFmt w:val="bullet"/>
      <w:lvlText w:val="●"/>
      <w:lvlJc w:val="left"/>
      <w:pPr>
        <w:ind w:left="6480" w:hanging="360"/>
      </w:pPr>
    </w:lvl>
  </w:abstractNum>
  <w:num w:numId="1" w16cid:durableId="1060593124">
    <w:abstractNumId w:val="1"/>
    <w:lvlOverride w:ilvl="0">
      <w:startOverride w:val="1"/>
    </w:lvlOverride>
  </w:num>
  <w:num w:numId="2" w16cid:durableId="1703246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B6"/>
    <w:rsid w:val="0017122B"/>
    <w:rsid w:val="00700A86"/>
    <w:rsid w:val="008F4B1B"/>
    <w:rsid w:val="009211C1"/>
    <w:rsid w:val="00B015E3"/>
    <w:rsid w:val="00BF1383"/>
    <w:rsid w:val="00FF2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B986"/>
  <w15:docId w15:val="{3D3D4E82-B2B3-4C82-B476-9D6028F5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2682</Words>
  <Characters>15289</Characters>
  <Application>Microsoft Office Word</Application>
  <DocSecurity>0</DocSecurity>
  <Lines>127</Lines>
  <Paragraphs>35</Paragraphs>
  <ScaleCrop>false</ScaleCrop>
  <Company/>
  <LinksUpToDate>false</LinksUpToDate>
  <CharactersWithSpaces>17936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Manga DataHub RFP Response</dc:title>
  <dc:creator>CloudCore Solutions</dc:creator>
  <cp:lastModifiedBy>Luka</cp:lastModifiedBy>
  <cp:revision>3</cp:revision>
  <dcterms:created xsi:type="dcterms:W3CDTF">2026-06-17T08:15:00Z</dcterms:created>
  <dcterms:modified xsi:type="dcterms:W3CDTF">2026-06-17T13:18:00Z</dcterms:modified>
</cp:coreProperties>
</file>