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346E6816" w:rsidR="00E63C46" w:rsidRDefault="00E63C46" w:rsidP="002F14FF">
      <w:pPr>
        <w:ind w:left="709" w:hanging="709"/>
      </w:pPr>
      <w:r>
        <w:t>(Forthcoming) A paper on healthcare marketisation and the introduction of risk into the doctor</w:t>
      </w:r>
      <w:r w:rsidR="00FE6614">
        <w:t>-</w:t>
      </w:r>
      <w:r>
        <w:t xml:space="preserve">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 xml:space="preserve">, Volume 78, Issue 3, pp. 583-586. </w:t>
      </w:r>
      <w:r w:rsidRPr="001205B9">
        <w:rPr>
          <w:rFonts w:cstheme="minorHAnsi"/>
        </w:rPr>
        <w:lastRenderedPageBreak/>
        <w:t>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5E1B1B68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>Ronan Ó Maonaile</w:t>
      </w:r>
      <w:r w:rsidR="00715CE5"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 w:rsidR="00715CE5">
        <w:rPr>
          <w:rFonts w:cstheme="minorHAnsi"/>
        </w:rPr>
        <w:t>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lastRenderedPageBreak/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include: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Theoria,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lastRenderedPageBreak/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lastRenderedPageBreak/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8C1D00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AD91" w14:textId="77777777" w:rsidR="0014594C" w:rsidRDefault="0014594C">
      <w:r>
        <w:separator/>
      </w:r>
    </w:p>
  </w:endnote>
  <w:endnote w:type="continuationSeparator" w:id="0">
    <w:p w14:paraId="60740D35" w14:textId="77777777" w:rsidR="0014594C" w:rsidRDefault="0014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A9FF" w14:textId="77777777" w:rsidR="0014594C" w:rsidRDefault="0014594C">
      <w:r>
        <w:rPr>
          <w:color w:val="000000"/>
        </w:rPr>
        <w:ptab w:relativeTo="margin" w:alignment="center" w:leader="none"/>
      </w:r>
    </w:p>
  </w:footnote>
  <w:footnote w:type="continuationSeparator" w:id="0">
    <w:p w14:paraId="1AE6F407" w14:textId="77777777" w:rsidR="0014594C" w:rsidRDefault="0014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8C1D00"/>
    <w:rsid w:val="00963DE5"/>
    <w:rsid w:val="00993826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51</cp:revision>
  <dcterms:created xsi:type="dcterms:W3CDTF">2022-12-01T10:47:00Z</dcterms:created>
  <dcterms:modified xsi:type="dcterms:W3CDTF">2023-11-28T14:11:00Z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