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CCEC9"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Luke Shively</w:t>
      </w:r>
    </w:p>
    <w:p w14:paraId="777CBBB7" w14:textId="3B230D8F"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Fish 460 Report</w:t>
      </w:r>
    </w:p>
    <w:p w14:paraId="073A4116"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b/>
          <w:bCs/>
          <w:sz w:val="22"/>
          <w:szCs w:val="22"/>
        </w:rPr>
        <w:t>Introduction</w:t>
      </w:r>
    </w:p>
    <w:p w14:paraId="60DFA828"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ab/>
        <w:t xml:space="preserve">Marine environments of today's Anthropocene are far from simple systems, with changes in climate, ecology, and economics driving the many ways we as humans </w:t>
      </w:r>
      <w:proofErr w:type="gramStart"/>
      <w:r w:rsidRPr="00613A10">
        <w:rPr>
          <w:rFonts w:ascii="Calibri" w:hAnsi="Calibri" w:cs="Calibri"/>
          <w:sz w:val="22"/>
          <w:szCs w:val="22"/>
        </w:rPr>
        <w:t>are able to</w:t>
      </w:r>
      <w:proofErr w:type="gramEnd"/>
      <w:r w:rsidRPr="00613A10">
        <w:rPr>
          <w:rFonts w:ascii="Calibri" w:hAnsi="Calibri" w:cs="Calibri"/>
          <w:sz w:val="22"/>
          <w:szCs w:val="22"/>
        </w:rPr>
        <w:t xml:space="preserve"> interact with them. Our interactions through the Alaskan snow crab fishery are an example of robust and rapid changes to marine environments completely shifting human </w:t>
      </w:r>
      <w:proofErr w:type="gramStart"/>
      <w:r w:rsidRPr="00613A10">
        <w:rPr>
          <w:rFonts w:ascii="Calibri" w:hAnsi="Calibri" w:cs="Calibri"/>
          <w:sz w:val="22"/>
          <w:szCs w:val="22"/>
        </w:rPr>
        <w:t>markets, and</w:t>
      </w:r>
      <w:proofErr w:type="gramEnd"/>
      <w:r w:rsidRPr="00613A10">
        <w:rPr>
          <w:rFonts w:ascii="Calibri" w:hAnsi="Calibri" w:cs="Calibri"/>
          <w:sz w:val="22"/>
          <w:szCs w:val="22"/>
        </w:rPr>
        <w:t xml:space="preserve"> driving further need for understanding more about the systems we extract so much from. The snow crab (</w:t>
      </w:r>
      <w:proofErr w:type="spellStart"/>
      <w:r w:rsidRPr="00613A10">
        <w:rPr>
          <w:rFonts w:ascii="Calibri" w:hAnsi="Calibri" w:cs="Calibri"/>
          <w:i/>
          <w:iCs/>
          <w:sz w:val="22"/>
          <w:szCs w:val="22"/>
        </w:rPr>
        <w:t>Chionoecetes</w:t>
      </w:r>
      <w:proofErr w:type="spellEnd"/>
      <w:r w:rsidRPr="00613A10">
        <w:rPr>
          <w:rFonts w:ascii="Calibri" w:hAnsi="Calibri" w:cs="Calibri"/>
          <w:i/>
          <w:iCs/>
          <w:sz w:val="22"/>
          <w:szCs w:val="22"/>
        </w:rPr>
        <w:t xml:space="preserve"> opilio</w:t>
      </w:r>
      <w:r w:rsidRPr="00613A10">
        <w:rPr>
          <w:rFonts w:ascii="Calibri" w:hAnsi="Calibri" w:cs="Calibri"/>
          <w:sz w:val="22"/>
          <w:szCs w:val="22"/>
        </w:rPr>
        <w:t xml:space="preserve">) fishery in Alaska supported a </w:t>
      </w:r>
      <w:proofErr w:type="gramStart"/>
      <w:r w:rsidRPr="00613A10">
        <w:rPr>
          <w:rFonts w:ascii="Calibri" w:hAnsi="Calibri" w:cs="Calibri"/>
          <w:sz w:val="22"/>
          <w:szCs w:val="22"/>
        </w:rPr>
        <w:t>near</w:t>
      </w:r>
      <w:proofErr w:type="gramEnd"/>
      <w:r w:rsidRPr="00613A10">
        <w:rPr>
          <w:rFonts w:ascii="Calibri" w:hAnsi="Calibri" w:cs="Calibri"/>
          <w:sz w:val="22"/>
          <w:szCs w:val="22"/>
        </w:rPr>
        <w:t xml:space="preserve"> US$200 million industry with lucrative management processes and research conducted by the National Marine Fisheries Service. Despite these efforts, however, the Bering Sea snow crab population effectively disappeared from 2019-2021, and the reason why remains hidden beneath thousands of feet of water. What is known is that a marine heatwave swept through the North Pacific in the latter half of the 2010’s (Hu et al. 2024; </w:t>
      </w:r>
      <w:proofErr w:type="spellStart"/>
      <w:proofErr w:type="gramStart"/>
      <w:r w:rsidRPr="00613A10">
        <w:rPr>
          <w:rFonts w:ascii="Calibri" w:hAnsi="Calibri" w:cs="Calibri"/>
          <w:sz w:val="22"/>
          <w:szCs w:val="22"/>
        </w:rPr>
        <w:t>any more</w:t>
      </w:r>
      <w:proofErr w:type="spellEnd"/>
      <w:proofErr w:type="gramEnd"/>
      <w:r w:rsidRPr="00613A10">
        <w:rPr>
          <w:rFonts w:ascii="Calibri" w:hAnsi="Calibri" w:cs="Calibri"/>
          <w:sz w:val="22"/>
          <w:szCs w:val="22"/>
        </w:rPr>
        <w:t>?), which could have strained the snow crabs' thermal tolerance, causing either a mass migration to cooler northern or deeper waters, or metabolic hikes resulting in starvation (</w:t>
      </w:r>
      <w:proofErr w:type="spellStart"/>
      <w:r w:rsidRPr="00613A10">
        <w:rPr>
          <w:rFonts w:ascii="Calibri" w:hAnsi="Calibri" w:cs="Calibri"/>
          <w:sz w:val="22"/>
          <w:szCs w:val="22"/>
        </w:rPr>
        <w:t>Szuwalski</w:t>
      </w:r>
      <w:proofErr w:type="spellEnd"/>
      <w:r w:rsidRPr="00613A10">
        <w:rPr>
          <w:rFonts w:ascii="Calibri" w:hAnsi="Calibri" w:cs="Calibri"/>
          <w:sz w:val="22"/>
          <w:szCs w:val="22"/>
        </w:rPr>
        <w:t xml:space="preserve"> et al. 2023</w:t>
      </w:r>
      <w:proofErr w:type="gramStart"/>
      <w:r w:rsidRPr="00613A10">
        <w:rPr>
          <w:rFonts w:ascii="Calibri" w:hAnsi="Calibri" w:cs="Calibri"/>
          <w:sz w:val="22"/>
          <w:szCs w:val="22"/>
        </w:rPr>
        <w:t>; )</w:t>
      </w:r>
      <w:proofErr w:type="gramEnd"/>
      <w:r w:rsidRPr="00613A10">
        <w:rPr>
          <w:rFonts w:ascii="Calibri" w:hAnsi="Calibri" w:cs="Calibri"/>
          <w:sz w:val="22"/>
          <w:szCs w:val="22"/>
        </w:rPr>
        <w:t>. Another factor speculated to have played a role in this event is tied to the phenomenon of bitter crab disease, a fatal dinoflagellate-borne illness with correlation to temperature increase and population density (Balstad et al. 2024; more). Ectothermic stress response can be significantly impacted by temperature increases (Shields 2019), and when critical temperatures are reached, the risk of infection and illness may pose a crucial threat to the immune response.</w:t>
      </w:r>
    </w:p>
    <w:p w14:paraId="0266C1BC" w14:textId="176D1F05" w:rsidR="00613A10" w:rsidRPr="001E62B8" w:rsidRDefault="00613A10" w:rsidP="00613A10">
      <w:pPr>
        <w:spacing w:line="240" w:lineRule="auto"/>
        <w:rPr>
          <w:rFonts w:ascii="Calibri" w:hAnsi="Calibri" w:cs="Calibri"/>
          <w:sz w:val="22"/>
          <w:szCs w:val="22"/>
        </w:rPr>
      </w:pPr>
      <w:r w:rsidRPr="00613A10">
        <w:rPr>
          <w:rFonts w:ascii="Calibri" w:hAnsi="Calibri" w:cs="Calibri"/>
          <w:sz w:val="22"/>
          <w:szCs w:val="22"/>
        </w:rPr>
        <w:tab/>
        <w:t>Understanding the immune response under increased thermal regimes can be done in the lab using a proxy for snow crabs. To do this, hairy shore crabs (</w:t>
      </w:r>
      <w:proofErr w:type="spellStart"/>
      <w:r w:rsidRPr="00613A10">
        <w:rPr>
          <w:rFonts w:ascii="Calibri" w:hAnsi="Calibri" w:cs="Calibri"/>
          <w:i/>
          <w:iCs/>
          <w:sz w:val="22"/>
          <w:szCs w:val="22"/>
        </w:rPr>
        <w:t>Hemigrapsus</w:t>
      </w:r>
      <w:proofErr w:type="spellEnd"/>
      <w:r w:rsidRPr="00613A10">
        <w:rPr>
          <w:rFonts w:ascii="Calibri" w:hAnsi="Calibri" w:cs="Calibri"/>
          <w:i/>
          <w:iCs/>
          <w:sz w:val="22"/>
          <w:szCs w:val="22"/>
        </w:rPr>
        <w:t xml:space="preserve"> </w:t>
      </w:r>
      <w:proofErr w:type="spellStart"/>
      <w:r w:rsidRPr="00613A10">
        <w:rPr>
          <w:rFonts w:ascii="Calibri" w:hAnsi="Calibri" w:cs="Calibri"/>
          <w:i/>
          <w:iCs/>
          <w:sz w:val="22"/>
          <w:szCs w:val="22"/>
        </w:rPr>
        <w:t>Oregonensis</w:t>
      </w:r>
      <w:proofErr w:type="spellEnd"/>
      <w:r w:rsidRPr="00613A10">
        <w:rPr>
          <w:rFonts w:ascii="Calibri" w:hAnsi="Calibri" w:cs="Calibri"/>
          <w:sz w:val="22"/>
          <w:szCs w:val="22"/>
        </w:rPr>
        <w:t xml:space="preserve">) offer an opportunity to use an ecologically significant specimen that is </w:t>
      </w:r>
      <w:proofErr w:type="gramStart"/>
      <w:r w:rsidRPr="00613A10">
        <w:rPr>
          <w:rFonts w:ascii="Calibri" w:hAnsi="Calibri" w:cs="Calibri"/>
          <w:sz w:val="22"/>
          <w:szCs w:val="22"/>
        </w:rPr>
        <w:t>malleable</w:t>
      </w:r>
      <w:proofErr w:type="gramEnd"/>
      <w:r w:rsidRPr="00613A10">
        <w:rPr>
          <w:rFonts w:ascii="Calibri" w:hAnsi="Calibri" w:cs="Calibri"/>
          <w:sz w:val="22"/>
          <w:szCs w:val="22"/>
        </w:rPr>
        <w:t xml:space="preserve"> in a lab setting while still providing insight into the physiological responses of ectothermic decapods at local relevance. Hairy shore crab is a shore crab found along shorelines of the North American Pacific coast and is smaller than snow crabs, with roughly 30 mm wide carapaces and green-grey coloring (Dana, 18 CHECK IN). Hairy shore crabs have a larger thermal range, from 3°C-27°C, than snow crabs, with a thermal range of -1°C-5°C. The </w:t>
      </w:r>
      <w:proofErr w:type="gramStart"/>
      <w:r w:rsidRPr="00613A10">
        <w:rPr>
          <w:rFonts w:ascii="Calibri" w:hAnsi="Calibri" w:cs="Calibri"/>
          <w:sz w:val="22"/>
          <w:szCs w:val="22"/>
        </w:rPr>
        <w:t>deep water</w:t>
      </w:r>
      <w:proofErr w:type="gramEnd"/>
      <w:r w:rsidRPr="00613A10">
        <w:rPr>
          <w:rFonts w:ascii="Calibri" w:hAnsi="Calibri" w:cs="Calibri"/>
          <w:sz w:val="22"/>
          <w:szCs w:val="22"/>
        </w:rPr>
        <w:t xml:space="preserve"> environment in which snow crabs live makes for a less variable thermal regime, such that their tolerance has adapted to a narrow scope, whereas shore crabs and taxa that inhabit the intertidal are often at the hand of much more variable environments and thus have a much larger thermal scope. This more variable environment at the intertidal level also results in higher taxa richness of bacteria and parasites (Wang et al. 2012; MORE). Shields (2019) describes the lowered threshold to infection in crustaceans exposed to heightened temperatures, and Adamo (2012) outlines the lacking functions of the immune system compromised by infection as haemocyte count and</w:t>
      </w:r>
    </w:p>
    <w:p w14:paraId="0631E9A7" w14:textId="7F2D280F" w:rsidR="00613A10" w:rsidRPr="00613A10" w:rsidRDefault="00613A10" w:rsidP="00613A10">
      <w:pPr>
        <w:spacing w:line="240" w:lineRule="auto"/>
        <w:rPr>
          <w:rFonts w:ascii="Calibri" w:hAnsi="Calibri" w:cs="Calibri"/>
          <w:sz w:val="22"/>
          <w:szCs w:val="22"/>
        </w:rPr>
      </w:pPr>
      <w:r w:rsidRPr="00613A10">
        <w:rPr>
          <w:rFonts w:ascii="Calibri" w:hAnsi="Calibri" w:cs="Calibri"/>
          <w:b/>
          <w:bCs/>
          <w:sz w:val="22"/>
          <w:szCs w:val="22"/>
        </w:rPr>
        <w:t>Methods</w:t>
      </w:r>
    </w:p>
    <w:p w14:paraId="43DD721A" w14:textId="77777777" w:rsidR="00613A10" w:rsidRPr="00613A10" w:rsidRDefault="00613A10" w:rsidP="00D45C60">
      <w:pPr>
        <w:spacing w:line="240" w:lineRule="auto"/>
        <w:ind w:firstLine="720"/>
        <w:rPr>
          <w:rFonts w:ascii="Calibri" w:hAnsi="Calibri" w:cs="Calibri"/>
          <w:sz w:val="22"/>
          <w:szCs w:val="22"/>
        </w:rPr>
      </w:pPr>
      <w:r w:rsidRPr="00613A10">
        <w:rPr>
          <w:rFonts w:ascii="Calibri" w:hAnsi="Calibri" w:cs="Calibri"/>
          <w:sz w:val="22"/>
          <w:szCs w:val="22"/>
        </w:rPr>
        <w:t xml:space="preserve">The experiment on hairy shore crab immune response as a response to heat stress was conducted over 3 weeks in the month of </w:t>
      </w:r>
      <w:proofErr w:type="gramStart"/>
      <w:r w:rsidRPr="00613A10">
        <w:rPr>
          <w:rFonts w:ascii="Calibri" w:hAnsi="Calibri" w:cs="Calibri"/>
          <w:sz w:val="22"/>
          <w:szCs w:val="22"/>
        </w:rPr>
        <w:t>May,</w:t>
      </w:r>
      <w:proofErr w:type="gramEnd"/>
      <w:r w:rsidRPr="00613A10">
        <w:rPr>
          <w:rFonts w:ascii="Calibri" w:hAnsi="Calibri" w:cs="Calibri"/>
          <w:sz w:val="22"/>
          <w:szCs w:val="22"/>
        </w:rPr>
        <w:t xml:space="preserve"> 2025, in the School of Aquatic and Fishery Sciences, Fisheries Teaching Building. H. </w:t>
      </w:r>
      <w:proofErr w:type="spellStart"/>
      <w:r w:rsidRPr="00613A10">
        <w:rPr>
          <w:rFonts w:ascii="Calibri" w:hAnsi="Calibri" w:cs="Calibri"/>
          <w:sz w:val="22"/>
          <w:szCs w:val="22"/>
        </w:rPr>
        <w:t>oregonensis</w:t>
      </w:r>
      <w:proofErr w:type="spellEnd"/>
      <w:r w:rsidRPr="00613A10">
        <w:rPr>
          <w:rFonts w:ascii="Calibri" w:hAnsi="Calibri" w:cs="Calibri"/>
          <w:sz w:val="22"/>
          <w:szCs w:val="22"/>
        </w:rPr>
        <w:t xml:space="preserve"> specimens were collected from mixed substrate (shell, sand, pebble) </w:t>
      </w:r>
      <w:proofErr w:type="gramStart"/>
      <w:r w:rsidRPr="00613A10">
        <w:rPr>
          <w:rFonts w:ascii="Calibri" w:hAnsi="Calibri" w:cs="Calibri"/>
          <w:sz w:val="22"/>
          <w:szCs w:val="22"/>
        </w:rPr>
        <w:t>off of</w:t>
      </w:r>
      <w:proofErr w:type="gramEnd"/>
      <w:r w:rsidRPr="00613A10">
        <w:rPr>
          <w:rFonts w:ascii="Calibri" w:hAnsi="Calibri" w:cs="Calibri"/>
          <w:sz w:val="22"/>
          <w:szCs w:val="22"/>
        </w:rPr>
        <w:t xml:space="preserve"> Lion’s Park Boat Launch, Bremerton, WA, between 11:30 and 13:34. Mud samples were collected from the streambed of a marginal freshwater outlet to Puget Sound near the shore within Golden Gardens Park, Seattle, </w:t>
      </w:r>
      <w:proofErr w:type="spellStart"/>
      <w:r w:rsidRPr="00613A10">
        <w:rPr>
          <w:rFonts w:ascii="Calibri" w:hAnsi="Calibri" w:cs="Calibri"/>
          <w:sz w:val="22"/>
          <w:szCs w:val="22"/>
        </w:rPr>
        <w:t>Wa</w:t>
      </w:r>
      <w:proofErr w:type="spellEnd"/>
      <w:r w:rsidRPr="00613A10">
        <w:rPr>
          <w:rFonts w:ascii="Calibri" w:hAnsi="Calibri" w:cs="Calibri"/>
          <w:sz w:val="22"/>
          <w:szCs w:val="22"/>
        </w:rPr>
        <w:t xml:space="preserve"> at 13:10. </w:t>
      </w:r>
    </w:p>
    <w:p w14:paraId="216F1F65"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 xml:space="preserve">4 groups were formed: a control group contained in cold water and no mud; one group contained in cold water with mud; one group contained in warm water and no mud; and one group contained in warm water with mud. With 6 crabs per treatment, excluding the control (18 total), 2 tanks (10 cm x 20 cm x </w:t>
      </w:r>
      <w:r w:rsidRPr="00613A10">
        <w:rPr>
          <w:rFonts w:ascii="Calibri" w:hAnsi="Calibri" w:cs="Calibri"/>
          <w:sz w:val="22"/>
          <w:szCs w:val="22"/>
        </w:rPr>
        <w:lastRenderedPageBreak/>
        <w:t xml:space="preserve">14.5 cm) containing mud were </w:t>
      </w:r>
      <w:proofErr w:type="gramStart"/>
      <w:r w:rsidRPr="00613A10">
        <w:rPr>
          <w:rFonts w:ascii="Calibri" w:hAnsi="Calibri" w:cs="Calibri"/>
          <w:sz w:val="22"/>
          <w:szCs w:val="22"/>
        </w:rPr>
        <w:t>first hand</w:t>
      </w:r>
      <w:proofErr w:type="gramEnd"/>
      <w:r w:rsidRPr="00613A10">
        <w:rPr>
          <w:rFonts w:ascii="Calibri" w:hAnsi="Calibri" w:cs="Calibri"/>
          <w:sz w:val="22"/>
          <w:szCs w:val="22"/>
        </w:rPr>
        <w:t>-filled with 3.81 cm mud substrate and then filled with 1.5 L of water at an initial salinity of 33 ppt. 1 tank containing no mud was filled simply with 1.5 L of water at an initial salinity of 33 ppt. In all 3 tanks, 2 oyster shells serving as hides (15.96-33.6 cm^2) were placed in the tanks, one on either side of a mesh wall dividing the tank into two halves, with one side for unused specimens and one for used specimens. Non-manipulated control specimens were left in a large cool tank and not disturbed until measurements were made. Healthy, to-be-manipulated specimens, 6 per tank, were hand placed in each of the 3 tanks by hand. One crab in the cold water with no mud tank was missing a claw. Once tanks were set up, the two warm treatment tanks were set in a water table to be heated to 27°C, the one cold water treatment tank was set in another water table to be cooled to 13°C. Air stones supplied oxygen to each treatment tank for the duration of the study.</w:t>
      </w:r>
    </w:p>
    <w:p w14:paraId="05BF42A0" w14:textId="10754D8F"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ab/>
        <w:t xml:space="preserve">After one week of containment in respective treatments, measurements were collected for haemocyte count, respiration, glucose, and righting time. Haemocyte count was obtained by collecting haemolymph from crabs by way of </w:t>
      </w:r>
      <w:proofErr w:type="spellStart"/>
      <w:r w:rsidRPr="00613A10">
        <w:rPr>
          <w:rFonts w:ascii="Calibri" w:hAnsi="Calibri" w:cs="Calibri"/>
          <w:sz w:val="22"/>
          <w:szCs w:val="22"/>
        </w:rPr>
        <w:t>syringical</w:t>
      </w:r>
      <w:proofErr w:type="spellEnd"/>
      <w:r w:rsidRPr="00613A10">
        <w:rPr>
          <w:rFonts w:ascii="Calibri" w:hAnsi="Calibri" w:cs="Calibri"/>
          <w:sz w:val="22"/>
          <w:szCs w:val="22"/>
        </w:rPr>
        <w:t xml:space="preserve"> needle extraction at the arthrodial membrane in an optimally non-lethal procedure. Haemolymph was read using a </w:t>
      </w:r>
      <w:proofErr w:type="spellStart"/>
      <w:r w:rsidRPr="00613A10">
        <w:rPr>
          <w:rFonts w:ascii="Calibri" w:hAnsi="Calibri" w:cs="Calibri"/>
          <w:sz w:val="22"/>
          <w:szCs w:val="22"/>
        </w:rPr>
        <w:t>haemocytomer</w:t>
      </w:r>
      <w:proofErr w:type="spellEnd"/>
      <w:r w:rsidRPr="00613A10">
        <w:rPr>
          <w:rFonts w:ascii="Calibri" w:hAnsi="Calibri" w:cs="Calibri"/>
          <w:sz w:val="22"/>
          <w:szCs w:val="22"/>
        </w:rPr>
        <w:t xml:space="preserve"> to count the concentration of </w:t>
      </w:r>
      <w:proofErr w:type="spellStart"/>
      <w:r w:rsidRPr="00613A10">
        <w:rPr>
          <w:rFonts w:ascii="Calibri" w:hAnsi="Calibri" w:cs="Calibri"/>
          <w:sz w:val="22"/>
          <w:szCs w:val="22"/>
        </w:rPr>
        <w:t>haemocytes</w:t>
      </w:r>
      <w:proofErr w:type="spellEnd"/>
      <w:r w:rsidRPr="00613A10">
        <w:rPr>
          <w:rFonts w:ascii="Calibri" w:hAnsi="Calibri" w:cs="Calibri"/>
          <w:sz w:val="22"/>
          <w:szCs w:val="22"/>
        </w:rPr>
        <w:t xml:space="preserve">. O2 respiration was obtained indirectly through metabolic rate by way of resazurin assays conducted following standardized protocol. As a proxy for respiration, fluorescence of stock solution in which the crab specimens are inoculated for 90 minutes is measured through the reduction of blue </w:t>
      </w:r>
      <w:proofErr w:type="spellStart"/>
      <w:r w:rsidRPr="00613A10">
        <w:rPr>
          <w:rFonts w:ascii="Calibri" w:hAnsi="Calibri" w:cs="Calibri"/>
          <w:sz w:val="22"/>
          <w:szCs w:val="22"/>
        </w:rPr>
        <w:t>resazruin</w:t>
      </w:r>
      <w:proofErr w:type="spellEnd"/>
      <w:r w:rsidRPr="00613A10">
        <w:rPr>
          <w:rFonts w:ascii="Calibri" w:hAnsi="Calibri" w:cs="Calibri"/>
          <w:sz w:val="22"/>
          <w:szCs w:val="22"/>
        </w:rPr>
        <w:t xml:space="preserve"> to red </w:t>
      </w:r>
      <w:proofErr w:type="spellStart"/>
      <w:r w:rsidRPr="00613A10">
        <w:rPr>
          <w:rFonts w:ascii="Calibri" w:hAnsi="Calibri" w:cs="Calibri"/>
          <w:sz w:val="22"/>
          <w:szCs w:val="22"/>
        </w:rPr>
        <w:t>resarufin</w:t>
      </w:r>
      <w:proofErr w:type="spellEnd"/>
      <w:r w:rsidRPr="00613A10">
        <w:rPr>
          <w:rFonts w:ascii="Calibri" w:hAnsi="Calibri" w:cs="Calibri"/>
          <w:sz w:val="22"/>
          <w:szCs w:val="22"/>
        </w:rPr>
        <w:t xml:space="preserve">, read by a fluorescent spectrophotometer at </w:t>
      </w:r>
      <w:proofErr w:type="gramStart"/>
      <w:r w:rsidRPr="00613A10">
        <w:rPr>
          <w:rFonts w:ascii="Calibri" w:hAnsi="Calibri" w:cs="Calibri"/>
          <w:sz w:val="22"/>
          <w:szCs w:val="22"/>
        </w:rPr>
        <w:t>30 point</w:t>
      </w:r>
      <w:proofErr w:type="gramEnd"/>
      <w:r w:rsidRPr="00613A10">
        <w:rPr>
          <w:rFonts w:ascii="Calibri" w:hAnsi="Calibri" w:cs="Calibri"/>
          <w:sz w:val="22"/>
          <w:szCs w:val="22"/>
        </w:rPr>
        <w:t xml:space="preserve"> intervals. Glucose was obtained through the </w:t>
      </w:r>
      <w:proofErr w:type="spellStart"/>
      <w:r w:rsidRPr="00613A10">
        <w:rPr>
          <w:rFonts w:ascii="Calibri" w:hAnsi="Calibri" w:cs="Calibri"/>
          <w:sz w:val="22"/>
          <w:szCs w:val="22"/>
        </w:rPr>
        <w:t>haemolyph</w:t>
      </w:r>
      <w:proofErr w:type="spellEnd"/>
      <w:r w:rsidRPr="00613A10">
        <w:rPr>
          <w:rFonts w:ascii="Calibri" w:hAnsi="Calibri" w:cs="Calibri"/>
          <w:sz w:val="22"/>
          <w:szCs w:val="22"/>
        </w:rPr>
        <w:t xml:space="preserve"> extractions and oxidized following Cayman Chemical protocol to produce hydrogen peroxide and gluconic acid. Hydrogen peroxide was then measured using peroxidase and </w:t>
      </w:r>
      <w:proofErr w:type="gramStart"/>
      <w:r w:rsidRPr="00613A10">
        <w:rPr>
          <w:rFonts w:ascii="Calibri" w:hAnsi="Calibri" w:cs="Calibri"/>
          <w:sz w:val="22"/>
          <w:szCs w:val="22"/>
        </w:rPr>
        <w:t>a chromogen</w:t>
      </w:r>
      <w:proofErr w:type="gramEnd"/>
      <w:r w:rsidRPr="00613A10">
        <w:rPr>
          <w:rFonts w:ascii="Calibri" w:hAnsi="Calibri" w:cs="Calibri"/>
          <w:sz w:val="22"/>
          <w:szCs w:val="22"/>
        </w:rPr>
        <w:t xml:space="preserve">. Prior to each haemolymph extraction, crabs were submitted to a righting time test in which they were placed dorsal side down on a flat surface, and pressed down until release, at which point a stopwatch measured the amount of time it took for the crabs to reorient themselves. Haemocyte count, respiration, glucose, and righting time were collected two times per treatment one week apart. Crabs were to be used only </w:t>
      </w:r>
      <w:proofErr w:type="gramStart"/>
      <w:r w:rsidRPr="00613A10">
        <w:rPr>
          <w:rFonts w:ascii="Calibri" w:hAnsi="Calibri" w:cs="Calibri"/>
          <w:sz w:val="22"/>
          <w:szCs w:val="22"/>
        </w:rPr>
        <w:t>once, and</w:t>
      </w:r>
      <w:proofErr w:type="gramEnd"/>
      <w:r w:rsidRPr="00613A10">
        <w:rPr>
          <w:rFonts w:ascii="Calibri" w:hAnsi="Calibri" w:cs="Calibri"/>
          <w:sz w:val="22"/>
          <w:szCs w:val="22"/>
        </w:rPr>
        <w:t xml:space="preserve"> subsequently placed on the used side of their respective tanks for the remainder of the study. Once data was collected, simple statistical analysis was performed using Google Sheets to produce readings for the four metrics obtained.</w:t>
      </w:r>
    </w:p>
    <w:p w14:paraId="60625596" w14:textId="0A5F98CB" w:rsidR="00613A10" w:rsidRPr="00613A10" w:rsidRDefault="00613A10" w:rsidP="00613A10">
      <w:pPr>
        <w:spacing w:line="240" w:lineRule="auto"/>
        <w:rPr>
          <w:rFonts w:ascii="Calibri" w:hAnsi="Calibri" w:cs="Calibri"/>
          <w:sz w:val="22"/>
          <w:szCs w:val="22"/>
        </w:rPr>
      </w:pPr>
      <w:r w:rsidRPr="00613A10">
        <w:rPr>
          <w:rFonts w:ascii="Calibri" w:hAnsi="Calibri" w:cs="Calibri"/>
          <w:b/>
          <w:bCs/>
          <w:sz w:val="22"/>
          <w:szCs w:val="22"/>
        </w:rPr>
        <w:t>Results</w:t>
      </w:r>
    </w:p>
    <w:p w14:paraId="4733A273" w14:textId="77777777" w:rsidR="00613A10" w:rsidRPr="001E62B8" w:rsidRDefault="00613A10" w:rsidP="00613A10">
      <w:pPr>
        <w:spacing w:line="240" w:lineRule="auto"/>
        <w:rPr>
          <w:rFonts w:ascii="Calibri" w:hAnsi="Calibri" w:cs="Calibri"/>
          <w:sz w:val="22"/>
          <w:szCs w:val="22"/>
        </w:rPr>
      </w:pPr>
      <w:r w:rsidRPr="00613A10">
        <w:rPr>
          <w:rFonts w:ascii="Calibri" w:hAnsi="Calibri" w:cs="Calibri"/>
          <w:sz w:val="22"/>
          <w:szCs w:val="22"/>
        </w:rPr>
        <w:t>Haemocyte Count</w:t>
      </w:r>
      <w:r w:rsidRPr="001E62B8">
        <w:rPr>
          <w:rFonts w:ascii="Calibri" w:hAnsi="Calibri" w:cs="Calibri"/>
          <w:sz w:val="22"/>
          <w:szCs w:val="22"/>
        </w:rPr>
        <w:t xml:space="preserve"> </w:t>
      </w:r>
    </w:p>
    <w:p w14:paraId="377A49F0" w14:textId="549A8948" w:rsidR="00613A10" w:rsidRPr="001E62B8" w:rsidRDefault="00613A10" w:rsidP="00613A10">
      <w:pPr>
        <w:spacing w:line="240" w:lineRule="auto"/>
        <w:rPr>
          <w:rFonts w:ascii="Calibri" w:hAnsi="Calibri" w:cs="Calibri"/>
          <w:sz w:val="22"/>
          <w:szCs w:val="22"/>
        </w:rPr>
      </w:pPr>
      <w:r w:rsidRPr="001E62B8">
        <w:rPr>
          <w:rFonts w:ascii="Calibri" w:hAnsi="Calibri" w:cs="Calibri"/>
          <w:sz w:val="22"/>
          <w:szCs w:val="22"/>
        </w:rPr>
        <w:t xml:space="preserve">5 specimens had haemolymph extracted as part of the first </w:t>
      </w:r>
      <w:proofErr w:type="gramStart"/>
      <w:r w:rsidRPr="001E62B8">
        <w:rPr>
          <w:rFonts w:ascii="Calibri" w:hAnsi="Calibri" w:cs="Calibri"/>
          <w:sz w:val="22"/>
          <w:szCs w:val="22"/>
        </w:rPr>
        <w:t>weeks</w:t>
      </w:r>
      <w:proofErr w:type="gramEnd"/>
      <w:r w:rsidRPr="001E62B8">
        <w:rPr>
          <w:rFonts w:ascii="Calibri" w:hAnsi="Calibri" w:cs="Calibri"/>
          <w:sz w:val="22"/>
          <w:szCs w:val="22"/>
        </w:rPr>
        <w:t xml:space="preserve"> measurement, while 5 </w:t>
      </w:r>
      <w:proofErr w:type="spellStart"/>
      <w:r w:rsidRPr="001E62B8">
        <w:rPr>
          <w:rFonts w:ascii="Calibri" w:hAnsi="Calibri" w:cs="Calibri"/>
          <w:sz w:val="22"/>
          <w:szCs w:val="22"/>
        </w:rPr>
        <w:t>speciments</w:t>
      </w:r>
      <w:proofErr w:type="spellEnd"/>
      <w:r w:rsidRPr="001E62B8">
        <w:rPr>
          <w:rFonts w:ascii="Calibri" w:hAnsi="Calibri" w:cs="Calibri"/>
          <w:sz w:val="22"/>
          <w:szCs w:val="22"/>
        </w:rPr>
        <w:t xml:space="preserve"> had haemolymph extracted as part of the second weeks </w:t>
      </w:r>
      <w:proofErr w:type="spellStart"/>
      <w:r w:rsidRPr="001E62B8">
        <w:rPr>
          <w:rFonts w:ascii="Calibri" w:hAnsi="Calibri" w:cs="Calibri"/>
          <w:sz w:val="22"/>
          <w:szCs w:val="22"/>
        </w:rPr>
        <w:t>measuremetns</w:t>
      </w:r>
      <w:proofErr w:type="spellEnd"/>
      <w:r w:rsidRPr="001E62B8">
        <w:rPr>
          <w:rFonts w:ascii="Calibri" w:hAnsi="Calibri" w:cs="Calibri"/>
          <w:sz w:val="22"/>
          <w:szCs w:val="22"/>
        </w:rPr>
        <w:t xml:space="preserve">, including 2 from the control group. Haemocyte concentration was highest in the mud and heat treatment specimens with an average of 180 and 154 </w:t>
      </w:r>
      <w:proofErr w:type="spellStart"/>
      <w:r w:rsidRPr="001E62B8">
        <w:rPr>
          <w:rFonts w:ascii="Calibri" w:hAnsi="Calibri" w:cs="Calibri"/>
          <w:sz w:val="22"/>
          <w:szCs w:val="22"/>
        </w:rPr>
        <w:t>cells</w:t>
      </w:r>
      <w:proofErr w:type="spellEnd"/>
      <w:r w:rsidRPr="001E62B8">
        <w:rPr>
          <w:rFonts w:ascii="Calibri" w:hAnsi="Calibri" w:cs="Calibri"/>
          <w:sz w:val="22"/>
          <w:szCs w:val="22"/>
        </w:rPr>
        <w:t xml:space="preserve"> per microlitre in the first week, and a standard deviation of 90.24 and 43.13 respectively. In the second week, average cells per microlitre were 59.75 with a standard deviation of 6.56. In week 1, the mud and cold treatment had the second highest haemocyte concentration with an average of 42.50 and standard deviation of 15.93. </w:t>
      </w:r>
      <w:r w:rsidR="00D952AA" w:rsidRPr="001E62B8">
        <w:rPr>
          <w:rFonts w:ascii="Calibri" w:hAnsi="Calibri" w:cs="Calibri"/>
          <w:sz w:val="22"/>
          <w:szCs w:val="22"/>
        </w:rPr>
        <w:t xml:space="preserve">The control treatment of no mud and cold had the third lowest haemocyte count with 18.75 and 5.5 </w:t>
      </w:r>
      <w:proofErr w:type="spellStart"/>
      <w:r w:rsidR="00D952AA" w:rsidRPr="001E62B8">
        <w:rPr>
          <w:rFonts w:ascii="Calibri" w:hAnsi="Calibri" w:cs="Calibri"/>
          <w:sz w:val="22"/>
          <w:szCs w:val="22"/>
        </w:rPr>
        <w:t>cells</w:t>
      </w:r>
      <w:proofErr w:type="spellEnd"/>
      <w:r w:rsidR="00D952AA" w:rsidRPr="001E62B8">
        <w:rPr>
          <w:rFonts w:ascii="Calibri" w:hAnsi="Calibri" w:cs="Calibri"/>
          <w:sz w:val="22"/>
          <w:szCs w:val="22"/>
        </w:rPr>
        <w:t xml:space="preserve"> per microlitre, and a standard deviation of 5.85 and 2.08 respectively. </w:t>
      </w:r>
      <w:r w:rsidRPr="001E62B8">
        <w:rPr>
          <w:rFonts w:ascii="Calibri" w:hAnsi="Calibri" w:cs="Calibri"/>
          <w:sz w:val="22"/>
          <w:szCs w:val="22"/>
        </w:rPr>
        <w:t xml:space="preserve">The </w:t>
      </w:r>
      <w:r w:rsidR="00D952AA" w:rsidRPr="001E62B8">
        <w:rPr>
          <w:rFonts w:ascii="Calibri" w:hAnsi="Calibri" w:cs="Calibri"/>
          <w:sz w:val="22"/>
          <w:szCs w:val="22"/>
        </w:rPr>
        <w:t>no mud and heat treatment had the lowest haemocyte count in week 1 with an average of 13 and 5, with a standard deviation of 2.16 and 3.37 respectively. In week 2, the no mud and heat treatment had the second highest haemocyte count with cells per microlitre and standard deviation of 18.14. The mud and cold treatment had the third highest haemocyte count with an average of 29 cells per microlitre and a standard deviation of 12.25. The control group had the lowest average haemocyte count in the second week.</w:t>
      </w:r>
    </w:p>
    <w:p w14:paraId="330252F4" w14:textId="11521517" w:rsidR="00D952AA" w:rsidRPr="001E62B8" w:rsidRDefault="00D952AA" w:rsidP="00613A10">
      <w:pPr>
        <w:spacing w:line="240" w:lineRule="auto"/>
        <w:rPr>
          <w:rFonts w:ascii="Calibri" w:hAnsi="Calibri" w:cs="Calibri"/>
          <w:sz w:val="22"/>
          <w:szCs w:val="22"/>
        </w:rPr>
      </w:pPr>
      <w:r w:rsidRPr="001E62B8">
        <w:rPr>
          <w:rFonts w:ascii="Calibri" w:hAnsi="Calibri" w:cs="Calibri"/>
          <w:sz w:val="22"/>
          <w:szCs w:val="22"/>
        </w:rPr>
        <w:t>Respiration</w:t>
      </w:r>
    </w:p>
    <w:p w14:paraId="34562139" w14:textId="2FE5A163" w:rsidR="00D952AA" w:rsidRPr="001E62B8" w:rsidRDefault="00DE3640" w:rsidP="00613A10">
      <w:pPr>
        <w:spacing w:line="240" w:lineRule="auto"/>
        <w:rPr>
          <w:rFonts w:ascii="Calibri" w:hAnsi="Calibri" w:cs="Calibri"/>
          <w:sz w:val="22"/>
          <w:szCs w:val="22"/>
        </w:rPr>
      </w:pPr>
      <w:r w:rsidRPr="001E62B8">
        <w:rPr>
          <w:rFonts w:ascii="Calibri" w:hAnsi="Calibri" w:cs="Calibri"/>
          <w:sz w:val="22"/>
          <w:szCs w:val="22"/>
        </w:rPr>
        <w:lastRenderedPageBreak/>
        <w:t xml:space="preserve">The mud and cold treatment group had the highest average resazurin calculations (Figure 2.) Mud and cold individuals had an average RFU/g of 486.44 at 90 minutes with a standard deviation of 270.95 in week 1 and an average RFU/g of </w:t>
      </w:r>
      <w:r w:rsidR="006C2A1A" w:rsidRPr="001E62B8">
        <w:rPr>
          <w:rFonts w:ascii="Calibri" w:hAnsi="Calibri" w:cs="Calibri"/>
          <w:sz w:val="22"/>
          <w:szCs w:val="22"/>
        </w:rPr>
        <w:t>495.81</w:t>
      </w:r>
      <w:r w:rsidRPr="001E62B8">
        <w:rPr>
          <w:rFonts w:ascii="Calibri" w:hAnsi="Calibri" w:cs="Calibri"/>
          <w:sz w:val="22"/>
          <w:szCs w:val="22"/>
        </w:rPr>
        <w:t xml:space="preserve"> in week 2 without a standard deviation due </w:t>
      </w:r>
      <w:proofErr w:type="gramStart"/>
      <w:r w:rsidRPr="001E62B8">
        <w:rPr>
          <w:rFonts w:ascii="Calibri" w:hAnsi="Calibri" w:cs="Calibri"/>
          <w:sz w:val="22"/>
          <w:szCs w:val="22"/>
        </w:rPr>
        <w:t>to there</w:t>
      </w:r>
      <w:proofErr w:type="gramEnd"/>
      <w:r w:rsidRPr="001E62B8">
        <w:rPr>
          <w:rFonts w:ascii="Calibri" w:hAnsi="Calibri" w:cs="Calibri"/>
          <w:sz w:val="22"/>
          <w:szCs w:val="22"/>
        </w:rPr>
        <w:t xml:space="preserve"> only being one </w:t>
      </w:r>
      <w:r w:rsidR="006C2A1A" w:rsidRPr="001E62B8">
        <w:rPr>
          <w:rFonts w:ascii="Calibri" w:hAnsi="Calibri" w:cs="Calibri"/>
          <w:sz w:val="22"/>
          <w:szCs w:val="22"/>
        </w:rPr>
        <w:t>measurement</w:t>
      </w:r>
      <w:r w:rsidRPr="001E62B8">
        <w:rPr>
          <w:rFonts w:ascii="Calibri" w:hAnsi="Calibri" w:cs="Calibri"/>
          <w:sz w:val="22"/>
          <w:szCs w:val="22"/>
        </w:rPr>
        <w:t xml:space="preserve"> per treatment. </w:t>
      </w:r>
      <w:r w:rsidR="006C2A1A" w:rsidRPr="001E62B8">
        <w:rPr>
          <w:rFonts w:ascii="Calibri" w:hAnsi="Calibri" w:cs="Calibri"/>
          <w:sz w:val="22"/>
          <w:szCs w:val="22"/>
        </w:rPr>
        <w:t>No m</w:t>
      </w:r>
      <w:r w:rsidRPr="001E62B8">
        <w:rPr>
          <w:rFonts w:ascii="Calibri" w:hAnsi="Calibri" w:cs="Calibri"/>
          <w:sz w:val="22"/>
          <w:szCs w:val="22"/>
        </w:rPr>
        <w:t>ud and heat individuals had</w:t>
      </w:r>
      <w:r w:rsidR="006C2A1A" w:rsidRPr="001E62B8">
        <w:rPr>
          <w:rFonts w:ascii="Calibri" w:hAnsi="Calibri" w:cs="Calibri"/>
          <w:sz w:val="22"/>
          <w:szCs w:val="22"/>
        </w:rPr>
        <w:t xml:space="preserve"> the second highest average resazurin calculations with an average RFU/g in week 1 of 308.70 and standard deviation of 42.34. In week 2 the no mud and heat average RFU/g </w:t>
      </w:r>
      <w:proofErr w:type="gramStart"/>
      <w:r w:rsidR="006C2A1A" w:rsidRPr="001E62B8">
        <w:rPr>
          <w:rFonts w:ascii="Calibri" w:hAnsi="Calibri" w:cs="Calibri"/>
          <w:sz w:val="22"/>
          <w:szCs w:val="22"/>
        </w:rPr>
        <w:t>was</w:t>
      </w:r>
      <w:proofErr w:type="gramEnd"/>
      <w:r w:rsidR="006C2A1A" w:rsidRPr="001E62B8">
        <w:rPr>
          <w:rFonts w:ascii="Calibri" w:hAnsi="Calibri" w:cs="Calibri"/>
          <w:sz w:val="22"/>
          <w:szCs w:val="22"/>
        </w:rPr>
        <w:t xml:space="preserve"> 176.84 with no standard deviation again due to there only being one specimen per treatment. Third, the mud and heat treatment had an average RFU/g in week 1 of 243.66 with a standard deviation of 7.26 while week 2 had an average RFU/g of 157.39, once again, without standard deviation. </w:t>
      </w:r>
    </w:p>
    <w:p w14:paraId="6AB9552B" w14:textId="38CA75E5" w:rsidR="00D952AA" w:rsidRPr="001E62B8" w:rsidRDefault="00D952AA" w:rsidP="00613A10">
      <w:pPr>
        <w:spacing w:line="240" w:lineRule="auto"/>
        <w:rPr>
          <w:rFonts w:ascii="Calibri" w:hAnsi="Calibri" w:cs="Calibri"/>
          <w:sz w:val="22"/>
          <w:szCs w:val="22"/>
        </w:rPr>
      </w:pPr>
      <w:r w:rsidRPr="001E62B8">
        <w:rPr>
          <w:rFonts w:ascii="Calibri" w:hAnsi="Calibri" w:cs="Calibri"/>
          <w:sz w:val="22"/>
          <w:szCs w:val="22"/>
        </w:rPr>
        <w:t>Righting Time</w:t>
      </w:r>
    </w:p>
    <w:p w14:paraId="54E9AC16" w14:textId="0AF10DEE" w:rsidR="00D952AA" w:rsidRPr="001E62B8" w:rsidRDefault="0021168E" w:rsidP="00613A10">
      <w:pPr>
        <w:spacing w:line="240" w:lineRule="auto"/>
        <w:rPr>
          <w:rFonts w:ascii="Calibri" w:hAnsi="Calibri" w:cs="Calibri"/>
          <w:sz w:val="22"/>
          <w:szCs w:val="22"/>
        </w:rPr>
      </w:pPr>
      <w:r w:rsidRPr="001E62B8">
        <w:rPr>
          <w:rFonts w:ascii="Calibri" w:hAnsi="Calibri" w:cs="Calibri"/>
          <w:sz w:val="22"/>
          <w:szCs w:val="22"/>
        </w:rPr>
        <w:t xml:space="preserve">Righting time showed an overall increase from week 1 to week 2 (Figure </w:t>
      </w:r>
      <w:r w:rsidR="00DE3640" w:rsidRPr="001E62B8">
        <w:rPr>
          <w:rFonts w:ascii="Calibri" w:hAnsi="Calibri" w:cs="Calibri"/>
          <w:sz w:val="22"/>
          <w:szCs w:val="22"/>
        </w:rPr>
        <w:t>3</w:t>
      </w:r>
      <w:r w:rsidRPr="001E62B8">
        <w:rPr>
          <w:rFonts w:ascii="Calibri" w:hAnsi="Calibri" w:cs="Calibri"/>
          <w:sz w:val="22"/>
          <w:szCs w:val="22"/>
        </w:rPr>
        <w:t xml:space="preserve">.). Righting time for the control treatment was an average of 1.60 seconds. For the mud and cold treatment, </w:t>
      </w:r>
      <w:proofErr w:type="gramStart"/>
      <w:r w:rsidRPr="001E62B8">
        <w:rPr>
          <w:rFonts w:ascii="Calibri" w:hAnsi="Calibri" w:cs="Calibri"/>
          <w:sz w:val="22"/>
          <w:szCs w:val="22"/>
        </w:rPr>
        <w:t>righting</w:t>
      </w:r>
      <w:proofErr w:type="gramEnd"/>
      <w:r w:rsidRPr="001E62B8">
        <w:rPr>
          <w:rFonts w:ascii="Calibri" w:hAnsi="Calibri" w:cs="Calibri"/>
          <w:sz w:val="22"/>
          <w:szCs w:val="22"/>
        </w:rPr>
        <w:t xml:space="preserve"> time was an average of 0.89 seconds in week 1 and an average of 3.68 seconds in week 2. In the no mud and heat treatment, </w:t>
      </w:r>
      <w:proofErr w:type="gramStart"/>
      <w:r w:rsidRPr="001E62B8">
        <w:rPr>
          <w:rFonts w:ascii="Calibri" w:hAnsi="Calibri" w:cs="Calibri"/>
          <w:sz w:val="22"/>
          <w:szCs w:val="22"/>
        </w:rPr>
        <w:t>righting</w:t>
      </w:r>
      <w:proofErr w:type="gramEnd"/>
      <w:r w:rsidRPr="001E62B8">
        <w:rPr>
          <w:rFonts w:ascii="Calibri" w:hAnsi="Calibri" w:cs="Calibri"/>
          <w:sz w:val="22"/>
          <w:szCs w:val="22"/>
        </w:rPr>
        <w:t xml:space="preserve"> time was an average of 0.81 seconds in week 1 and an average of </w:t>
      </w:r>
      <w:r w:rsidR="00D45C60" w:rsidRPr="001E62B8">
        <w:rPr>
          <w:rFonts w:ascii="Calibri" w:hAnsi="Calibri" w:cs="Calibri"/>
          <w:sz w:val="22"/>
          <w:szCs w:val="22"/>
        </w:rPr>
        <w:t xml:space="preserve">1.28 seconds in week 2. Lastly, for the mud and heat treatment, </w:t>
      </w:r>
      <w:proofErr w:type="gramStart"/>
      <w:r w:rsidR="00D45C60" w:rsidRPr="001E62B8">
        <w:rPr>
          <w:rFonts w:ascii="Calibri" w:hAnsi="Calibri" w:cs="Calibri"/>
          <w:sz w:val="22"/>
          <w:szCs w:val="22"/>
        </w:rPr>
        <w:t>righting</w:t>
      </w:r>
      <w:proofErr w:type="gramEnd"/>
      <w:r w:rsidR="00D45C60" w:rsidRPr="001E62B8">
        <w:rPr>
          <w:rFonts w:ascii="Calibri" w:hAnsi="Calibri" w:cs="Calibri"/>
          <w:sz w:val="22"/>
          <w:szCs w:val="22"/>
        </w:rPr>
        <w:t xml:space="preserve"> time was an average of 2.78 seconds in week 1 and an average of 3.78 seconds in week 2. </w:t>
      </w:r>
    </w:p>
    <w:p w14:paraId="38B9F04C" w14:textId="76D5162D" w:rsidR="00D45C60" w:rsidRPr="001E62B8" w:rsidRDefault="00D45C60" w:rsidP="00613A10">
      <w:pPr>
        <w:spacing w:line="240" w:lineRule="auto"/>
        <w:rPr>
          <w:rFonts w:ascii="Calibri" w:hAnsi="Calibri" w:cs="Calibri"/>
          <w:sz w:val="22"/>
          <w:szCs w:val="22"/>
        </w:rPr>
      </w:pPr>
      <w:r w:rsidRPr="001E62B8">
        <w:rPr>
          <w:rFonts w:ascii="Calibri" w:hAnsi="Calibri" w:cs="Calibri"/>
          <w:sz w:val="22"/>
          <w:szCs w:val="22"/>
        </w:rPr>
        <w:t>Glucose</w:t>
      </w:r>
    </w:p>
    <w:p w14:paraId="74ED8746" w14:textId="77777777" w:rsidR="00D45C60" w:rsidRPr="00613A10" w:rsidRDefault="00D45C60" w:rsidP="00613A10">
      <w:pPr>
        <w:spacing w:line="240" w:lineRule="auto"/>
        <w:rPr>
          <w:rFonts w:ascii="Calibri" w:hAnsi="Calibri" w:cs="Calibri"/>
          <w:sz w:val="22"/>
          <w:szCs w:val="22"/>
        </w:rPr>
      </w:pPr>
    </w:p>
    <w:p w14:paraId="22788F2D" w14:textId="77777777" w:rsidR="00D45C60" w:rsidRPr="001E62B8" w:rsidRDefault="00613A10" w:rsidP="00613A10">
      <w:pPr>
        <w:spacing w:line="240" w:lineRule="auto"/>
        <w:rPr>
          <w:rFonts w:ascii="Calibri" w:hAnsi="Calibri" w:cs="Calibri"/>
          <w:b/>
          <w:bCs/>
          <w:sz w:val="22"/>
          <w:szCs w:val="22"/>
        </w:rPr>
      </w:pPr>
      <w:r w:rsidRPr="00613A10">
        <w:rPr>
          <w:rFonts w:ascii="Calibri" w:hAnsi="Calibri" w:cs="Calibri"/>
          <w:sz w:val="22"/>
          <w:szCs w:val="22"/>
        </w:rPr>
        <w:br/>
      </w:r>
      <w:r w:rsidR="00D45C60" w:rsidRPr="001E62B8">
        <w:rPr>
          <w:rFonts w:ascii="Calibri" w:hAnsi="Calibri" w:cs="Calibri"/>
          <w:b/>
          <w:bCs/>
          <w:sz w:val="22"/>
          <w:szCs w:val="22"/>
        </w:rPr>
        <w:t>Discussion</w:t>
      </w:r>
    </w:p>
    <w:p w14:paraId="69734BFC" w14:textId="21FFABF2" w:rsidR="00613A10" w:rsidRPr="001E62B8" w:rsidRDefault="001E62B8" w:rsidP="00613A10">
      <w:pPr>
        <w:spacing w:line="240" w:lineRule="auto"/>
        <w:rPr>
          <w:rFonts w:ascii="Calibri" w:hAnsi="Calibri" w:cs="Calibri"/>
          <w:sz w:val="22"/>
          <w:szCs w:val="22"/>
        </w:rPr>
      </w:pPr>
      <w:r>
        <w:rPr>
          <w:rFonts w:ascii="Calibri" w:hAnsi="Calibri" w:cs="Calibri"/>
          <w:sz w:val="22"/>
          <w:szCs w:val="22"/>
        </w:rPr>
        <w:tab/>
      </w:r>
      <w:r w:rsidR="00613A10" w:rsidRPr="00613A10">
        <w:rPr>
          <w:rFonts w:ascii="Calibri" w:hAnsi="Calibri" w:cs="Calibri"/>
          <w:sz w:val="22"/>
          <w:szCs w:val="22"/>
        </w:rPr>
        <w:br/>
      </w:r>
      <w:r w:rsidR="00613A10" w:rsidRPr="00613A10">
        <w:rPr>
          <w:rFonts w:ascii="Calibri" w:hAnsi="Calibri" w:cs="Calibri"/>
          <w:sz w:val="22"/>
          <w:szCs w:val="22"/>
        </w:rPr>
        <w:br/>
      </w:r>
      <w:r w:rsidR="00613A10" w:rsidRPr="00613A10">
        <w:rPr>
          <w:rFonts w:ascii="Calibri" w:hAnsi="Calibri" w:cs="Calibri"/>
          <w:sz w:val="22"/>
          <w:szCs w:val="22"/>
        </w:rPr>
        <w:br/>
      </w:r>
      <w:r w:rsidR="00613A10" w:rsidRPr="00613A10">
        <w:rPr>
          <w:rFonts w:ascii="Calibri" w:hAnsi="Calibri" w:cs="Calibri"/>
          <w:sz w:val="22"/>
          <w:szCs w:val="22"/>
        </w:rPr>
        <w:br/>
      </w:r>
      <w:r w:rsidR="00613A10" w:rsidRPr="00613A10">
        <w:rPr>
          <w:rFonts w:ascii="Calibri" w:hAnsi="Calibri" w:cs="Calibri"/>
          <w:sz w:val="22"/>
          <w:szCs w:val="22"/>
        </w:rPr>
        <w:br/>
      </w:r>
      <w:r w:rsidR="00613A10" w:rsidRPr="00613A10">
        <w:rPr>
          <w:rFonts w:ascii="Calibri" w:hAnsi="Calibri" w:cs="Calibri"/>
          <w:sz w:val="22"/>
          <w:szCs w:val="22"/>
        </w:rPr>
        <w:br/>
      </w:r>
    </w:p>
    <w:p w14:paraId="658AE9E7" w14:textId="77777777" w:rsidR="00613A10" w:rsidRPr="001E62B8" w:rsidRDefault="00613A10" w:rsidP="00613A10">
      <w:pPr>
        <w:spacing w:line="240" w:lineRule="auto"/>
        <w:rPr>
          <w:rFonts w:ascii="Calibri" w:hAnsi="Calibri" w:cs="Calibri"/>
          <w:sz w:val="22"/>
          <w:szCs w:val="22"/>
        </w:rPr>
      </w:pPr>
    </w:p>
    <w:p w14:paraId="26EA1775" w14:textId="77777777" w:rsidR="00613A10" w:rsidRPr="001E62B8" w:rsidRDefault="00613A10" w:rsidP="00613A10">
      <w:pPr>
        <w:spacing w:line="240" w:lineRule="auto"/>
        <w:rPr>
          <w:rFonts w:ascii="Calibri" w:hAnsi="Calibri" w:cs="Calibri"/>
          <w:sz w:val="22"/>
          <w:szCs w:val="22"/>
        </w:rPr>
      </w:pPr>
    </w:p>
    <w:p w14:paraId="0079B607" w14:textId="77777777" w:rsidR="00613A10" w:rsidRPr="001E62B8" w:rsidRDefault="00613A10" w:rsidP="00613A10">
      <w:pPr>
        <w:spacing w:line="240" w:lineRule="auto"/>
        <w:rPr>
          <w:rFonts w:ascii="Calibri" w:hAnsi="Calibri" w:cs="Calibri"/>
          <w:sz w:val="22"/>
          <w:szCs w:val="22"/>
        </w:rPr>
      </w:pPr>
    </w:p>
    <w:p w14:paraId="7B49DC37" w14:textId="77777777" w:rsidR="00613A10" w:rsidRPr="001E62B8" w:rsidRDefault="00613A10" w:rsidP="00613A10">
      <w:pPr>
        <w:spacing w:line="240" w:lineRule="auto"/>
        <w:rPr>
          <w:rFonts w:ascii="Calibri" w:hAnsi="Calibri" w:cs="Calibri"/>
          <w:sz w:val="22"/>
          <w:szCs w:val="22"/>
        </w:rPr>
      </w:pPr>
    </w:p>
    <w:p w14:paraId="103B4C7A" w14:textId="77777777" w:rsidR="00613A10" w:rsidRPr="001E62B8" w:rsidRDefault="00613A10" w:rsidP="00613A10">
      <w:pPr>
        <w:spacing w:line="240" w:lineRule="auto"/>
        <w:rPr>
          <w:rFonts w:ascii="Calibri" w:hAnsi="Calibri" w:cs="Calibri"/>
          <w:sz w:val="22"/>
          <w:szCs w:val="22"/>
        </w:rPr>
      </w:pPr>
    </w:p>
    <w:p w14:paraId="4BF9B502" w14:textId="77777777" w:rsidR="00613A10" w:rsidRPr="001E62B8" w:rsidRDefault="00613A10" w:rsidP="00613A10">
      <w:pPr>
        <w:spacing w:line="240" w:lineRule="auto"/>
        <w:rPr>
          <w:rFonts w:ascii="Calibri" w:hAnsi="Calibri" w:cs="Calibri"/>
          <w:sz w:val="22"/>
          <w:szCs w:val="22"/>
        </w:rPr>
      </w:pPr>
    </w:p>
    <w:p w14:paraId="70E9C413" w14:textId="77777777" w:rsidR="00613A10" w:rsidRPr="001E62B8" w:rsidRDefault="00613A10" w:rsidP="00613A10">
      <w:pPr>
        <w:spacing w:line="240" w:lineRule="auto"/>
        <w:rPr>
          <w:rFonts w:ascii="Calibri" w:hAnsi="Calibri" w:cs="Calibri"/>
          <w:sz w:val="22"/>
          <w:szCs w:val="22"/>
        </w:rPr>
      </w:pPr>
    </w:p>
    <w:p w14:paraId="432DB7CB" w14:textId="77777777" w:rsidR="00613A10" w:rsidRPr="001E62B8" w:rsidRDefault="00613A10" w:rsidP="00613A10">
      <w:pPr>
        <w:spacing w:line="240" w:lineRule="auto"/>
        <w:rPr>
          <w:rFonts w:ascii="Calibri" w:hAnsi="Calibri" w:cs="Calibri"/>
          <w:sz w:val="22"/>
          <w:szCs w:val="22"/>
        </w:rPr>
      </w:pPr>
    </w:p>
    <w:p w14:paraId="5EC54F3F" w14:textId="77777777" w:rsidR="00613A10" w:rsidRPr="00613A10" w:rsidRDefault="00613A10" w:rsidP="00613A10">
      <w:pPr>
        <w:spacing w:line="240" w:lineRule="auto"/>
        <w:rPr>
          <w:rFonts w:ascii="Calibri" w:hAnsi="Calibri" w:cs="Calibri"/>
          <w:sz w:val="22"/>
          <w:szCs w:val="22"/>
        </w:rPr>
      </w:pPr>
    </w:p>
    <w:p w14:paraId="0736ED8C" w14:textId="52D08B52" w:rsidR="00613A10" w:rsidRPr="00613A10" w:rsidRDefault="00613A10" w:rsidP="00613A10">
      <w:pPr>
        <w:spacing w:line="240" w:lineRule="auto"/>
        <w:rPr>
          <w:rFonts w:ascii="Calibri" w:hAnsi="Calibri" w:cs="Calibri"/>
          <w:sz w:val="22"/>
          <w:szCs w:val="22"/>
        </w:rPr>
      </w:pPr>
      <w:r w:rsidRPr="001E62B8">
        <w:rPr>
          <w:rFonts w:ascii="Calibri" w:hAnsi="Calibri" w:cs="Calibri"/>
          <w:sz w:val="22"/>
          <w:szCs w:val="22"/>
        </w:rPr>
        <w:lastRenderedPageBreak/>
        <w:drawing>
          <wp:inline distT="0" distB="0" distL="0" distR="0" wp14:anchorId="257DA939" wp14:editId="60D1C0C7">
            <wp:extent cx="2884349" cy="1483745"/>
            <wp:effectExtent l="0" t="0" r="0" b="2540"/>
            <wp:docPr id="1533350156" name="Picture 3" descr="A graph of a number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50156" name="Picture 3" descr="A graph of a number of different sizes and colors&#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3494" cy="1488449"/>
                    </a:xfrm>
                    <a:prstGeom prst="rect">
                      <a:avLst/>
                    </a:prstGeom>
                    <a:noFill/>
                    <a:ln>
                      <a:noFill/>
                    </a:ln>
                  </pic:spPr>
                </pic:pic>
              </a:graphicData>
            </a:graphic>
          </wp:inline>
        </w:drawing>
      </w:r>
      <w:r w:rsidRPr="001E62B8">
        <w:rPr>
          <w:rFonts w:ascii="Calibri" w:hAnsi="Calibri" w:cs="Calibri"/>
          <w:noProof/>
          <w:sz w:val="22"/>
          <w:szCs w:val="22"/>
        </w:rPr>
        <mc:AlternateContent>
          <mc:Choice Requires="wps">
            <w:drawing>
              <wp:anchor distT="0" distB="0" distL="114300" distR="114300" simplePos="0" relativeHeight="251660288" behindDoc="0" locked="0" layoutInCell="1" allowOverlap="1" wp14:anchorId="758E652D" wp14:editId="4A5DBC03">
                <wp:simplePos x="0" y="0"/>
                <wp:positionH relativeFrom="column">
                  <wp:posOffset>5345008</wp:posOffset>
                </wp:positionH>
                <wp:positionV relativeFrom="paragraph">
                  <wp:posOffset>36400</wp:posOffset>
                </wp:positionV>
                <wp:extent cx="202518" cy="214626"/>
                <wp:effectExtent l="0" t="0" r="7620" b="0"/>
                <wp:wrapNone/>
                <wp:docPr id="233238924" name="Text Box 7"/>
                <wp:cNvGraphicFramePr/>
                <a:graphic xmlns:a="http://schemas.openxmlformats.org/drawingml/2006/main">
                  <a:graphicData uri="http://schemas.microsoft.com/office/word/2010/wordprocessingShape">
                    <wps:wsp>
                      <wps:cNvSpPr txBox="1"/>
                      <wps:spPr>
                        <a:xfrm>
                          <a:off x="0" y="0"/>
                          <a:ext cx="202518" cy="214626"/>
                        </a:xfrm>
                        <a:prstGeom prst="rect">
                          <a:avLst/>
                        </a:prstGeom>
                        <a:solidFill>
                          <a:schemeClr val="lt1"/>
                        </a:solidFill>
                        <a:ln w="6350">
                          <a:noFill/>
                        </a:ln>
                      </wps:spPr>
                      <wps:txbx>
                        <w:txbxContent>
                          <w:p w14:paraId="3CCD4575" w14:textId="42697DF6" w:rsidR="00613A10" w:rsidRPr="00613A10" w:rsidRDefault="00613A10">
                            <w:pPr>
                              <w:rPr>
                                <w:sz w:val="16"/>
                                <w:szCs w:val="16"/>
                              </w:rPr>
                            </w:pPr>
                            <w:r w:rsidRPr="00613A10">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E652D" id="_x0000_t202" coordsize="21600,21600" o:spt="202" path="m,l,21600r21600,l21600,xe">
                <v:stroke joinstyle="miter"/>
                <v:path gradientshapeok="t" o:connecttype="rect"/>
              </v:shapetype>
              <v:shape id="Text Box 7" o:spid="_x0000_s1026" type="#_x0000_t202" style="position:absolute;margin-left:420.85pt;margin-top:2.85pt;width:15.95pt;height:1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" fillcolor="white [3201]" stroked="f" strokeweight=".5pt">
                <v:textbox>
                  <w:txbxContent>
                    <w:p w14:paraId="3CCD4575" w14:textId="42697DF6" w:rsidR="00613A10" w:rsidRPr="00613A10" w:rsidRDefault="00613A10">
                      <w:pPr>
                        <w:rPr>
                          <w:sz w:val="16"/>
                          <w:szCs w:val="16"/>
                        </w:rPr>
                      </w:pPr>
                      <w:r w:rsidRPr="00613A10">
                        <w:rPr>
                          <w:sz w:val="16"/>
                          <w:szCs w:val="16"/>
                        </w:rPr>
                        <w:t>B</w:t>
                      </w:r>
                    </w:p>
                  </w:txbxContent>
                </v:textbox>
              </v:shape>
            </w:pict>
          </mc:Fallback>
        </mc:AlternateContent>
      </w:r>
      <w:r w:rsidRPr="001E62B8">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7AF4B191" wp14:editId="7A965568">
                <wp:simplePos x="0" y="0"/>
                <wp:positionH relativeFrom="column">
                  <wp:posOffset>2503860</wp:posOffset>
                </wp:positionH>
                <wp:positionV relativeFrom="paragraph">
                  <wp:posOffset>24548</wp:posOffset>
                </wp:positionV>
                <wp:extent cx="214792" cy="196381"/>
                <wp:effectExtent l="0" t="0" r="0" b="0"/>
                <wp:wrapNone/>
                <wp:docPr id="1638303729" name="Text Box 6"/>
                <wp:cNvGraphicFramePr/>
                <a:graphic xmlns:a="http://schemas.openxmlformats.org/drawingml/2006/main">
                  <a:graphicData uri="http://schemas.microsoft.com/office/word/2010/wordprocessingShape">
                    <wps:wsp>
                      <wps:cNvSpPr txBox="1"/>
                      <wps:spPr>
                        <a:xfrm>
                          <a:off x="0" y="0"/>
                          <a:ext cx="214792" cy="196381"/>
                        </a:xfrm>
                        <a:prstGeom prst="rect">
                          <a:avLst/>
                        </a:prstGeom>
                        <a:solidFill>
                          <a:schemeClr val="lt1"/>
                        </a:solidFill>
                        <a:ln w="6350">
                          <a:noFill/>
                        </a:ln>
                      </wps:spPr>
                      <wps:txbx>
                        <w:txbxContent>
                          <w:p w14:paraId="5A90BE63" w14:textId="4F9A85DC" w:rsidR="00613A10" w:rsidRPr="00613A10" w:rsidRDefault="00613A10">
                            <w:pPr>
                              <w:rPr>
                                <w:sz w:val="16"/>
                                <w:szCs w:val="16"/>
                              </w:rPr>
                            </w:pPr>
                            <w:r w:rsidRPr="00613A10">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4B191" id="Text Box 6" o:spid="_x0000_s1027" type="#_x0000_t202" style="position:absolute;margin-left:197.15pt;margin-top:1.95pt;width:16.9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" fillcolor="white [3201]" stroked="f" strokeweight=".5pt">
                <v:textbox>
                  <w:txbxContent>
                    <w:p w14:paraId="5A90BE63" w14:textId="4F9A85DC" w:rsidR="00613A10" w:rsidRPr="00613A10" w:rsidRDefault="00613A10">
                      <w:pPr>
                        <w:rPr>
                          <w:sz w:val="16"/>
                          <w:szCs w:val="16"/>
                        </w:rPr>
                      </w:pPr>
                      <w:r w:rsidRPr="00613A10">
                        <w:rPr>
                          <w:sz w:val="16"/>
                          <w:szCs w:val="16"/>
                        </w:rPr>
                        <w:t>A</w:t>
                      </w:r>
                    </w:p>
                  </w:txbxContent>
                </v:textbox>
              </v:shape>
            </w:pict>
          </mc:Fallback>
        </mc:AlternateContent>
      </w:r>
      <w:r w:rsidRPr="001E62B8">
        <w:rPr>
          <w:rFonts w:ascii="Calibri" w:hAnsi="Calibri" w:cs="Calibri"/>
          <w:sz w:val="22"/>
          <w:szCs w:val="22"/>
        </w:rPr>
        <w:drawing>
          <wp:inline distT="0" distB="0" distL="0" distR="0" wp14:anchorId="0C44DCB2" wp14:editId="73182630">
            <wp:extent cx="2743200" cy="1492250"/>
            <wp:effectExtent l="0" t="0" r="0" b="0"/>
            <wp:docPr id="1648591654" name="Picture 4"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1654" name="Picture 4" descr="A graph of a number of blue ba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492250"/>
                    </a:xfrm>
                    <a:prstGeom prst="rect">
                      <a:avLst/>
                    </a:prstGeom>
                    <a:noFill/>
                    <a:ln>
                      <a:noFill/>
                    </a:ln>
                  </pic:spPr>
                </pic:pic>
              </a:graphicData>
            </a:graphic>
          </wp:inline>
        </w:drawing>
      </w:r>
    </w:p>
    <w:p w14:paraId="6143D605" w14:textId="6AA865D7" w:rsidR="00613A10" w:rsidRPr="001E62B8" w:rsidRDefault="00613A10" w:rsidP="00613A10">
      <w:pPr>
        <w:spacing w:line="240" w:lineRule="auto"/>
        <w:rPr>
          <w:rFonts w:ascii="Calibri" w:hAnsi="Calibri" w:cs="Calibri"/>
          <w:sz w:val="22"/>
          <w:szCs w:val="22"/>
        </w:rPr>
      </w:pPr>
      <w:r w:rsidRPr="00613A10">
        <w:rPr>
          <w:rFonts w:ascii="Calibri" w:hAnsi="Calibri" w:cs="Calibri"/>
          <w:sz w:val="22"/>
          <w:szCs w:val="22"/>
        </w:rPr>
        <w:t xml:space="preserve">Figure 1. (A) Average </w:t>
      </w:r>
      <w:proofErr w:type="gramStart"/>
      <w:r w:rsidRPr="00613A10">
        <w:rPr>
          <w:rFonts w:ascii="Calibri" w:hAnsi="Calibri" w:cs="Calibri"/>
          <w:sz w:val="22"/>
          <w:szCs w:val="22"/>
        </w:rPr>
        <w:t>haemocyte</w:t>
      </w:r>
      <w:proofErr w:type="gramEnd"/>
      <w:r w:rsidRPr="00613A10">
        <w:rPr>
          <w:rFonts w:ascii="Calibri" w:hAnsi="Calibri" w:cs="Calibri"/>
          <w:sz w:val="22"/>
          <w:szCs w:val="22"/>
        </w:rPr>
        <w:t xml:space="preserve"> count per treatment after one week (Control count collected with week 2 samples on 05/13/2025). (B) Average </w:t>
      </w:r>
      <w:proofErr w:type="gramStart"/>
      <w:r w:rsidRPr="00613A10">
        <w:rPr>
          <w:rFonts w:ascii="Calibri" w:hAnsi="Calibri" w:cs="Calibri"/>
          <w:sz w:val="22"/>
          <w:szCs w:val="22"/>
        </w:rPr>
        <w:t>haemocyte</w:t>
      </w:r>
      <w:proofErr w:type="gramEnd"/>
      <w:r w:rsidRPr="00613A10">
        <w:rPr>
          <w:rFonts w:ascii="Calibri" w:hAnsi="Calibri" w:cs="Calibri"/>
          <w:sz w:val="22"/>
          <w:szCs w:val="22"/>
        </w:rPr>
        <w:t xml:space="preserve"> count per treatment after two weeks (Control count collected with week 2 samples on 05/13/2025).</w:t>
      </w:r>
      <w:r w:rsidRPr="00613A10">
        <w:rPr>
          <w:rFonts w:ascii="Calibri" w:hAnsi="Calibri" w:cs="Calibri"/>
          <w:sz w:val="22"/>
          <w:szCs w:val="22"/>
        </w:rPr>
        <w:br/>
      </w:r>
    </w:p>
    <w:p w14:paraId="708EB24E" w14:textId="77777777" w:rsidR="00D45C60" w:rsidRPr="001E62B8" w:rsidRDefault="00D45C60" w:rsidP="00613A10">
      <w:pPr>
        <w:spacing w:line="240" w:lineRule="auto"/>
        <w:rPr>
          <w:rFonts w:ascii="Calibri" w:hAnsi="Calibri" w:cs="Calibri"/>
          <w:sz w:val="22"/>
          <w:szCs w:val="22"/>
        </w:rPr>
      </w:pPr>
    </w:p>
    <w:p w14:paraId="238326C0" w14:textId="47ABB149" w:rsidR="00DE3640" w:rsidRPr="001E62B8" w:rsidRDefault="00DE3640" w:rsidP="00613A10">
      <w:pPr>
        <w:spacing w:line="240" w:lineRule="auto"/>
        <w:rPr>
          <w:rFonts w:ascii="Calibri" w:hAnsi="Calibri" w:cs="Calibri"/>
          <w:sz w:val="22"/>
          <w:szCs w:val="22"/>
        </w:rPr>
      </w:pPr>
      <w:r w:rsidRPr="001E62B8">
        <w:rPr>
          <w:noProof/>
          <w:sz w:val="22"/>
          <w:szCs w:val="22"/>
        </w:rPr>
        <w:drawing>
          <wp:inline distT="0" distB="0" distL="0" distR="0" wp14:anchorId="7C3425DE" wp14:editId="7C2B7990">
            <wp:extent cx="3228016" cy="2589777"/>
            <wp:effectExtent l="0" t="0" r="10795" b="1270"/>
            <wp:docPr id="1402483631" name="Chart 1">
              <a:extLst xmlns:a="http://schemas.openxmlformats.org/drawingml/2006/main">
                <a:ext uri="{FF2B5EF4-FFF2-40B4-BE49-F238E27FC236}">
                  <a16:creationId xmlns:a16="http://schemas.microsoft.com/office/drawing/2014/main" id="{C79D9000-8A2E-F50D-DD86-D8DFF3AB3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F728F1" w14:textId="76AC1124" w:rsidR="00DE3640" w:rsidRPr="001E62B8" w:rsidRDefault="00DE3640" w:rsidP="00613A10">
      <w:pPr>
        <w:spacing w:line="240" w:lineRule="auto"/>
        <w:rPr>
          <w:rFonts w:ascii="Calibri" w:hAnsi="Calibri" w:cs="Calibri"/>
          <w:sz w:val="22"/>
          <w:szCs w:val="22"/>
        </w:rPr>
        <w:sectPr w:rsidR="00DE3640" w:rsidRPr="001E62B8">
          <w:pgSz w:w="12240" w:h="15840"/>
          <w:pgMar w:top="1440" w:right="1440" w:bottom="1440" w:left="1440" w:header="720" w:footer="720" w:gutter="0"/>
          <w:cols w:space="720"/>
          <w:docGrid w:linePitch="360"/>
        </w:sectPr>
      </w:pPr>
    </w:p>
    <w:p w14:paraId="5B5C80A5" w14:textId="09D945C6" w:rsidR="00AE7FD1" w:rsidRPr="001E62B8" w:rsidRDefault="0021168E" w:rsidP="00613A10">
      <w:pPr>
        <w:spacing w:line="240" w:lineRule="auto"/>
        <w:rPr>
          <w:rFonts w:ascii="Calibri" w:hAnsi="Calibri" w:cs="Calibri"/>
          <w:sz w:val="22"/>
          <w:szCs w:val="22"/>
        </w:rPr>
      </w:pPr>
      <w:r w:rsidRPr="001E62B8">
        <w:rPr>
          <w:noProof/>
          <w:sz w:val="22"/>
          <w:szCs w:val="22"/>
        </w:rPr>
        <w:drawing>
          <wp:inline distT="0" distB="0" distL="0" distR="0" wp14:anchorId="6F566E3B" wp14:editId="489699DA">
            <wp:extent cx="3099141" cy="1951539"/>
            <wp:effectExtent l="0" t="0" r="6350" b="10795"/>
            <wp:docPr id="1582479055" name="Chart 1">
              <a:extLst xmlns:a="http://schemas.openxmlformats.org/drawingml/2006/main">
                <a:ext uri="{FF2B5EF4-FFF2-40B4-BE49-F238E27FC236}">
                  <a16:creationId xmlns:a16="http://schemas.microsoft.com/office/drawing/2014/main" id="{B5599A8B-5C37-6F49-01B4-143B19CBE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DFFDD1" w14:textId="5D6AD81D" w:rsidR="00AE7FD1" w:rsidRPr="001E62B8" w:rsidRDefault="00AE7FD1" w:rsidP="00613A10">
      <w:pPr>
        <w:spacing w:line="240" w:lineRule="auto"/>
        <w:rPr>
          <w:rFonts w:ascii="Calibri" w:hAnsi="Calibri" w:cs="Calibri"/>
          <w:sz w:val="22"/>
          <w:szCs w:val="22"/>
        </w:rPr>
      </w:pPr>
      <w:r w:rsidRPr="001E62B8">
        <w:rPr>
          <w:rFonts w:ascii="Calibri" w:hAnsi="Calibri" w:cs="Calibri"/>
          <w:sz w:val="22"/>
          <w:szCs w:val="22"/>
        </w:rPr>
        <w:t xml:space="preserve">Figure </w:t>
      </w:r>
      <w:r w:rsidR="00DE3640" w:rsidRPr="001E62B8">
        <w:rPr>
          <w:rFonts w:ascii="Calibri" w:hAnsi="Calibri" w:cs="Calibri"/>
          <w:sz w:val="22"/>
          <w:szCs w:val="22"/>
        </w:rPr>
        <w:t>3</w:t>
      </w:r>
      <w:r w:rsidRPr="001E62B8">
        <w:rPr>
          <w:rFonts w:ascii="Calibri" w:hAnsi="Calibri" w:cs="Calibri"/>
          <w:sz w:val="22"/>
          <w:szCs w:val="22"/>
        </w:rPr>
        <w:t>. Righting time average across treatments for weeks 1 and 2 collected prior to haemolymph extraction</w:t>
      </w:r>
      <w:r w:rsidR="0021168E" w:rsidRPr="001E62B8">
        <w:rPr>
          <w:rFonts w:ascii="Calibri" w:hAnsi="Calibri" w:cs="Calibri"/>
          <w:sz w:val="22"/>
          <w:szCs w:val="22"/>
        </w:rPr>
        <w:t>/</w:t>
      </w:r>
      <w:r w:rsidRPr="001E62B8">
        <w:rPr>
          <w:rFonts w:ascii="Calibri" w:hAnsi="Calibri" w:cs="Calibri"/>
          <w:sz w:val="22"/>
          <w:szCs w:val="22"/>
        </w:rPr>
        <w:t xml:space="preserve">resazurin </w:t>
      </w:r>
      <w:r w:rsidR="0021168E" w:rsidRPr="001E62B8">
        <w:rPr>
          <w:rFonts w:ascii="Calibri" w:hAnsi="Calibri" w:cs="Calibri"/>
          <w:sz w:val="22"/>
          <w:szCs w:val="22"/>
        </w:rPr>
        <w:t>inoculation.</w:t>
      </w:r>
    </w:p>
    <w:p w14:paraId="51C4B36D" w14:textId="4F012DD4" w:rsidR="00D45C60" w:rsidRPr="001E62B8" w:rsidRDefault="00D45C60" w:rsidP="00613A10">
      <w:pPr>
        <w:spacing w:line="240" w:lineRule="auto"/>
        <w:rPr>
          <w:rFonts w:ascii="Calibri" w:hAnsi="Calibri" w:cs="Calibri"/>
          <w:sz w:val="22"/>
          <w:szCs w:val="22"/>
        </w:rPr>
      </w:pPr>
      <w:r w:rsidRPr="001E62B8">
        <w:rPr>
          <w:noProof/>
          <w:sz w:val="22"/>
          <w:szCs w:val="22"/>
        </w:rPr>
        <w:drawing>
          <wp:inline distT="0" distB="0" distL="0" distR="0" wp14:anchorId="75537CB8" wp14:editId="15C88599">
            <wp:extent cx="3019361" cy="1839681"/>
            <wp:effectExtent l="0" t="0" r="0" b="8255"/>
            <wp:docPr id="1343759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3925" cy="1848555"/>
                    </a:xfrm>
                    <a:prstGeom prst="rect">
                      <a:avLst/>
                    </a:prstGeom>
                    <a:noFill/>
                    <a:ln>
                      <a:noFill/>
                    </a:ln>
                  </pic:spPr>
                </pic:pic>
              </a:graphicData>
            </a:graphic>
          </wp:inline>
        </w:drawing>
      </w:r>
    </w:p>
    <w:p w14:paraId="22DDE039" w14:textId="63974EB6" w:rsidR="00D45C60" w:rsidRPr="001E62B8" w:rsidRDefault="00D45C60" w:rsidP="00613A10">
      <w:pPr>
        <w:spacing w:line="240" w:lineRule="auto"/>
        <w:rPr>
          <w:rFonts w:ascii="Calibri" w:hAnsi="Calibri" w:cs="Calibri"/>
          <w:sz w:val="22"/>
          <w:szCs w:val="22"/>
        </w:rPr>
      </w:pPr>
      <w:r w:rsidRPr="001E62B8">
        <w:rPr>
          <w:rFonts w:ascii="Calibri" w:hAnsi="Calibri" w:cs="Calibri"/>
          <w:sz w:val="22"/>
          <w:szCs w:val="22"/>
        </w:rPr>
        <w:t xml:space="preserve">Figure </w:t>
      </w:r>
      <w:r w:rsidR="00DE3640" w:rsidRPr="001E62B8">
        <w:rPr>
          <w:rFonts w:ascii="Calibri" w:hAnsi="Calibri" w:cs="Calibri"/>
          <w:sz w:val="22"/>
          <w:szCs w:val="22"/>
        </w:rPr>
        <w:t>4</w:t>
      </w:r>
      <w:r w:rsidRPr="001E62B8">
        <w:rPr>
          <w:rFonts w:ascii="Calibri" w:hAnsi="Calibri" w:cs="Calibri"/>
          <w:sz w:val="22"/>
          <w:szCs w:val="22"/>
        </w:rPr>
        <w:t>. Glucose blah blah blah blah blah blah</w:t>
      </w:r>
    </w:p>
    <w:p w14:paraId="62EA84EF" w14:textId="77777777" w:rsidR="00D45C60" w:rsidRPr="001E62B8" w:rsidRDefault="00D45C60" w:rsidP="00613A10">
      <w:pPr>
        <w:spacing w:line="240" w:lineRule="auto"/>
        <w:rPr>
          <w:rFonts w:ascii="Calibri" w:hAnsi="Calibri" w:cs="Calibri"/>
          <w:sz w:val="22"/>
          <w:szCs w:val="22"/>
        </w:rPr>
        <w:sectPr w:rsidR="00D45C60" w:rsidRPr="001E62B8" w:rsidSect="00D45C60">
          <w:type w:val="continuous"/>
          <w:pgSz w:w="12240" w:h="15840"/>
          <w:pgMar w:top="1440" w:right="1440" w:bottom="1440" w:left="1440" w:header="720" w:footer="720" w:gutter="0"/>
          <w:cols w:num="2" w:space="720"/>
          <w:docGrid w:linePitch="360"/>
        </w:sectPr>
      </w:pPr>
    </w:p>
    <w:p w14:paraId="4A5D770D" w14:textId="77777777" w:rsidR="001E62B8" w:rsidRDefault="001E62B8" w:rsidP="00613A10">
      <w:pPr>
        <w:spacing w:line="240" w:lineRule="auto"/>
        <w:rPr>
          <w:rFonts w:ascii="Calibri" w:hAnsi="Calibri" w:cs="Calibri"/>
          <w:sz w:val="22"/>
          <w:szCs w:val="22"/>
        </w:rPr>
      </w:pPr>
    </w:p>
    <w:p w14:paraId="7577A565" w14:textId="68742287" w:rsidR="00613A10" w:rsidRPr="001E62B8" w:rsidRDefault="00613A10" w:rsidP="00613A10">
      <w:pPr>
        <w:spacing w:line="240" w:lineRule="auto"/>
        <w:rPr>
          <w:rFonts w:ascii="Calibri" w:hAnsi="Calibri" w:cs="Calibri"/>
          <w:sz w:val="22"/>
          <w:szCs w:val="22"/>
        </w:rPr>
      </w:pPr>
      <w:r w:rsidRPr="001E62B8">
        <w:rPr>
          <w:rFonts w:ascii="Calibri" w:hAnsi="Calibri" w:cs="Calibri"/>
          <w:sz w:val="22"/>
          <w:szCs w:val="22"/>
        </w:rPr>
        <w:lastRenderedPageBreak/>
        <w:t>Table 1. Average haemocyte counts for weeks 1 and 2 with standard deviation</w:t>
      </w:r>
    </w:p>
    <w:tbl>
      <w:tblPr>
        <w:tblW w:w="8940" w:type="dxa"/>
        <w:tblLook w:val="04A0" w:firstRow="1" w:lastRow="0" w:firstColumn="1" w:lastColumn="0" w:noHBand="0" w:noVBand="1"/>
      </w:tblPr>
      <w:tblGrid>
        <w:gridCol w:w="2100"/>
        <w:gridCol w:w="2440"/>
        <w:gridCol w:w="1053"/>
        <w:gridCol w:w="2480"/>
        <w:gridCol w:w="1053"/>
      </w:tblGrid>
      <w:tr w:rsidR="00613A10" w:rsidRPr="00613A10" w14:paraId="6011E259" w14:textId="77777777" w:rsidTr="00613A10">
        <w:trPr>
          <w:trHeight w:val="300"/>
        </w:trPr>
        <w:tc>
          <w:tcPr>
            <w:tcW w:w="2100" w:type="dxa"/>
            <w:tcBorders>
              <w:top w:val="nil"/>
              <w:left w:val="nil"/>
              <w:bottom w:val="nil"/>
              <w:right w:val="nil"/>
            </w:tcBorders>
            <w:shd w:val="clear" w:color="auto" w:fill="auto"/>
            <w:noWrap/>
            <w:vAlign w:val="bottom"/>
            <w:hideMark/>
          </w:tcPr>
          <w:p w14:paraId="76BC376D" w14:textId="77777777" w:rsidR="00613A10" w:rsidRPr="00613A10" w:rsidRDefault="00613A10" w:rsidP="00613A10">
            <w:pPr>
              <w:spacing w:after="0" w:line="240" w:lineRule="auto"/>
              <w:rPr>
                <w:rFonts w:ascii="Calibri" w:eastAsia="Times New Roman" w:hAnsi="Calibri" w:cs="Calibri"/>
                <w:kern w:val="0"/>
                <w:sz w:val="22"/>
                <w:szCs w:val="22"/>
                <w14:ligatures w14:val="none"/>
              </w:rPr>
            </w:pPr>
          </w:p>
        </w:tc>
        <w:tc>
          <w:tcPr>
            <w:tcW w:w="2440" w:type="dxa"/>
            <w:tcBorders>
              <w:top w:val="single" w:sz="8" w:space="0" w:color="auto"/>
              <w:left w:val="single" w:sz="8" w:space="0" w:color="auto"/>
              <w:bottom w:val="nil"/>
              <w:right w:val="single" w:sz="8" w:space="0" w:color="auto"/>
            </w:tcBorders>
            <w:shd w:val="clear" w:color="000000" w:fill="F2CEEF"/>
            <w:noWrap/>
            <w:vAlign w:val="bottom"/>
            <w:hideMark/>
          </w:tcPr>
          <w:p w14:paraId="2DA73AD9"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Week 1</w:t>
            </w:r>
          </w:p>
        </w:tc>
        <w:tc>
          <w:tcPr>
            <w:tcW w:w="960" w:type="dxa"/>
            <w:tcBorders>
              <w:top w:val="nil"/>
              <w:left w:val="nil"/>
              <w:bottom w:val="nil"/>
              <w:right w:val="nil"/>
            </w:tcBorders>
            <w:shd w:val="clear" w:color="auto" w:fill="auto"/>
            <w:noWrap/>
            <w:vAlign w:val="bottom"/>
            <w:hideMark/>
          </w:tcPr>
          <w:p w14:paraId="03896031"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p>
        </w:tc>
        <w:tc>
          <w:tcPr>
            <w:tcW w:w="2480" w:type="dxa"/>
            <w:tcBorders>
              <w:top w:val="single" w:sz="8" w:space="0" w:color="auto"/>
              <w:left w:val="single" w:sz="8" w:space="0" w:color="auto"/>
              <w:bottom w:val="nil"/>
              <w:right w:val="single" w:sz="8" w:space="0" w:color="auto"/>
            </w:tcBorders>
            <w:shd w:val="clear" w:color="000000" w:fill="F2CEEF"/>
            <w:noWrap/>
            <w:vAlign w:val="bottom"/>
            <w:hideMark/>
          </w:tcPr>
          <w:p w14:paraId="483BE49C"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Week 2</w:t>
            </w:r>
          </w:p>
        </w:tc>
        <w:tc>
          <w:tcPr>
            <w:tcW w:w="960" w:type="dxa"/>
            <w:tcBorders>
              <w:top w:val="nil"/>
              <w:left w:val="nil"/>
              <w:bottom w:val="nil"/>
              <w:right w:val="nil"/>
            </w:tcBorders>
            <w:shd w:val="clear" w:color="auto" w:fill="auto"/>
            <w:noWrap/>
            <w:vAlign w:val="bottom"/>
            <w:hideMark/>
          </w:tcPr>
          <w:p w14:paraId="3CBDFFFA"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p>
        </w:tc>
      </w:tr>
      <w:tr w:rsidR="00613A10" w:rsidRPr="00613A10" w14:paraId="56A0D712" w14:textId="77777777" w:rsidTr="00613A10">
        <w:trPr>
          <w:trHeight w:val="300"/>
        </w:trPr>
        <w:tc>
          <w:tcPr>
            <w:tcW w:w="2100" w:type="dxa"/>
            <w:tcBorders>
              <w:top w:val="nil"/>
              <w:left w:val="nil"/>
              <w:bottom w:val="nil"/>
              <w:right w:val="nil"/>
            </w:tcBorders>
            <w:shd w:val="clear" w:color="auto" w:fill="auto"/>
            <w:noWrap/>
            <w:vAlign w:val="bottom"/>
            <w:hideMark/>
          </w:tcPr>
          <w:p w14:paraId="292569F1" w14:textId="77777777" w:rsidR="00613A10" w:rsidRPr="00613A10" w:rsidRDefault="00613A10" w:rsidP="00613A10">
            <w:pPr>
              <w:spacing w:after="0" w:line="240" w:lineRule="auto"/>
              <w:rPr>
                <w:rFonts w:ascii="Calibri" w:eastAsia="Times New Roman" w:hAnsi="Calibri" w:cs="Calibri"/>
                <w:kern w:val="0"/>
                <w:sz w:val="22"/>
                <w:szCs w:val="22"/>
                <w14:ligatures w14:val="none"/>
              </w:rPr>
            </w:pPr>
          </w:p>
        </w:tc>
        <w:tc>
          <w:tcPr>
            <w:tcW w:w="24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B5E14D3"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Average Haemocyte Count</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351A711"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SD</w:t>
            </w:r>
          </w:p>
        </w:tc>
        <w:tc>
          <w:tcPr>
            <w:tcW w:w="2480" w:type="dxa"/>
            <w:tcBorders>
              <w:top w:val="single" w:sz="8" w:space="0" w:color="auto"/>
              <w:left w:val="nil"/>
              <w:bottom w:val="single" w:sz="8" w:space="0" w:color="auto"/>
              <w:right w:val="single" w:sz="4" w:space="0" w:color="auto"/>
            </w:tcBorders>
            <w:shd w:val="clear" w:color="auto" w:fill="auto"/>
            <w:noWrap/>
            <w:vAlign w:val="bottom"/>
            <w:hideMark/>
          </w:tcPr>
          <w:p w14:paraId="6E82E46E"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Average Haemocyte Count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E824514"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SD</w:t>
            </w:r>
          </w:p>
        </w:tc>
      </w:tr>
      <w:tr w:rsidR="00613A10" w:rsidRPr="00613A10" w14:paraId="56C2E7BE" w14:textId="77777777" w:rsidTr="00613A10">
        <w:trPr>
          <w:trHeight w:val="290"/>
        </w:trPr>
        <w:tc>
          <w:tcPr>
            <w:tcW w:w="2100" w:type="dxa"/>
            <w:tcBorders>
              <w:top w:val="single" w:sz="8" w:space="0" w:color="auto"/>
              <w:left w:val="single" w:sz="8" w:space="0" w:color="auto"/>
              <w:bottom w:val="single" w:sz="4" w:space="0" w:color="auto"/>
              <w:right w:val="nil"/>
            </w:tcBorders>
            <w:shd w:val="clear" w:color="000000" w:fill="DAE9F8"/>
            <w:noWrap/>
            <w:vAlign w:val="bottom"/>
            <w:hideMark/>
          </w:tcPr>
          <w:p w14:paraId="7367C054"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Mud, 13 C</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E4A3AD8"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42.5</w:t>
            </w:r>
          </w:p>
        </w:tc>
        <w:tc>
          <w:tcPr>
            <w:tcW w:w="960" w:type="dxa"/>
            <w:tcBorders>
              <w:top w:val="nil"/>
              <w:left w:val="nil"/>
              <w:bottom w:val="single" w:sz="4" w:space="0" w:color="auto"/>
              <w:right w:val="single" w:sz="4" w:space="0" w:color="auto"/>
            </w:tcBorders>
            <w:shd w:val="clear" w:color="auto" w:fill="auto"/>
            <w:noWrap/>
            <w:vAlign w:val="bottom"/>
            <w:hideMark/>
          </w:tcPr>
          <w:p w14:paraId="30C052B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15.92692</w:t>
            </w:r>
          </w:p>
        </w:tc>
        <w:tc>
          <w:tcPr>
            <w:tcW w:w="2480" w:type="dxa"/>
            <w:tcBorders>
              <w:top w:val="nil"/>
              <w:left w:val="nil"/>
              <w:bottom w:val="single" w:sz="4" w:space="0" w:color="auto"/>
              <w:right w:val="single" w:sz="4" w:space="0" w:color="auto"/>
            </w:tcBorders>
            <w:shd w:val="clear" w:color="auto" w:fill="auto"/>
            <w:noWrap/>
            <w:vAlign w:val="bottom"/>
            <w:hideMark/>
          </w:tcPr>
          <w:p w14:paraId="5D317BF6"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4E6D6B87"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12.24745</w:t>
            </w:r>
          </w:p>
        </w:tc>
      </w:tr>
      <w:tr w:rsidR="00613A10" w:rsidRPr="00613A10" w14:paraId="50D9B413" w14:textId="77777777" w:rsidTr="00613A10">
        <w:trPr>
          <w:trHeight w:val="290"/>
        </w:trPr>
        <w:tc>
          <w:tcPr>
            <w:tcW w:w="2100" w:type="dxa"/>
            <w:tcBorders>
              <w:top w:val="nil"/>
              <w:left w:val="single" w:sz="8" w:space="0" w:color="auto"/>
              <w:bottom w:val="single" w:sz="4" w:space="0" w:color="auto"/>
              <w:right w:val="nil"/>
            </w:tcBorders>
            <w:shd w:val="clear" w:color="000000" w:fill="DAE9F8"/>
            <w:noWrap/>
            <w:vAlign w:val="bottom"/>
            <w:hideMark/>
          </w:tcPr>
          <w:p w14:paraId="0E414BBA"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Mud, 13 C</w:t>
            </w:r>
          </w:p>
        </w:tc>
        <w:tc>
          <w:tcPr>
            <w:tcW w:w="2440" w:type="dxa"/>
            <w:tcBorders>
              <w:top w:val="nil"/>
              <w:left w:val="single" w:sz="4" w:space="0" w:color="auto"/>
              <w:bottom w:val="single" w:sz="4" w:space="0" w:color="auto"/>
              <w:right w:val="single" w:sz="4" w:space="0" w:color="auto"/>
            </w:tcBorders>
            <w:shd w:val="clear" w:color="000000" w:fill="E8E8E8"/>
            <w:noWrap/>
            <w:vAlign w:val="bottom"/>
            <w:hideMark/>
          </w:tcPr>
          <w:p w14:paraId="7A02E107"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5B7FCE2A"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2480" w:type="dxa"/>
            <w:tcBorders>
              <w:top w:val="nil"/>
              <w:left w:val="nil"/>
              <w:bottom w:val="single" w:sz="4" w:space="0" w:color="auto"/>
              <w:right w:val="single" w:sz="4" w:space="0" w:color="auto"/>
            </w:tcBorders>
            <w:shd w:val="clear" w:color="000000" w:fill="E8E8E8"/>
            <w:noWrap/>
            <w:vAlign w:val="bottom"/>
            <w:hideMark/>
          </w:tcPr>
          <w:p w14:paraId="51150E94"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2FDD1E21"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r>
      <w:tr w:rsidR="00613A10" w:rsidRPr="00613A10" w14:paraId="31242A95" w14:textId="77777777" w:rsidTr="00613A10">
        <w:trPr>
          <w:trHeight w:val="290"/>
        </w:trPr>
        <w:tc>
          <w:tcPr>
            <w:tcW w:w="2100" w:type="dxa"/>
            <w:tcBorders>
              <w:top w:val="nil"/>
              <w:left w:val="single" w:sz="8" w:space="0" w:color="auto"/>
              <w:bottom w:val="single" w:sz="4" w:space="0" w:color="auto"/>
              <w:right w:val="nil"/>
            </w:tcBorders>
            <w:shd w:val="clear" w:color="000000" w:fill="DAF2D0"/>
            <w:noWrap/>
            <w:vAlign w:val="bottom"/>
            <w:hideMark/>
          </w:tcPr>
          <w:p w14:paraId="4ADE1FCF"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No Mud, 13 C (Control)</w:t>
            </w:r>
          </w:p>
        </w:tc>
        <w:tc>
          <w:tcPr>
            <w:tcW w:w="2440" w:type="dxa"/>
            <w:tcBorders>
              <w:top w:val="nil"/>
              <w:left w:val="single" w:sz="4" w:space="0" w:color="auto"/>
              <w:bottom w:val="single" w:sz="4" w:space="0" w:color="auto"/>
              <w:right w:val="single" w:sz="4" w:space="0" w:color="auto"/>
            </w:tcBorders>
            <w:shd w:val="clear" w:color="000000" w:fill="E8E8E8"/>
            <w:noWrap/>
            <w:vAlign w:val="bottom"/>
            <w:hideMark/>
          </w:tcPr>
          <w:p w14:paraId="4677190C"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6208BAD2"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2480" w:type="dxa"/>
            <w:tcBorders>
              <w:top w:val="nil"/>
              <w:left w:val="nil"/>
              <w:bottom w:val="single" w:sz="4" w:space="0" w:color="auto"/>
              <w:right w:val="single" w:sz="4" w:space="0" w:color="auto"/>
            </w:tcBorders>
            <w:shd w:val="clear" w:color="auto" w:fill="auto"/>
            <w:noWrap/>
            <w:vAlign w:val="bottom"/>
            <w:hideMark/>
          </w:tcPr>
          <w:p w14:paraId="03F405DA"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18.75</w:t>
            </w:r>
          </w:p>
        </w:tc>
        <w:tc>
          <w:tcPr>
            <w:tcW w:w="960" w:type="dxa"/>
            <w:tcBorders>
              <w:top w:val="nil"/>
              <w:left w:val="nil"/>
              <w:bottom w:val="single" w:sz="4" w:space="0" w:color="auto"/>
              <w:right w:val="single" w:sz="4" w:space="0" w:color="auto"/>
            </w:tcBorders>
            <w:shd w:val="clear" w:color="auto" w:fill="auto"/>
            <w:noWrap/>
            <w:vAlign w:val="bottom"/>
            <w:hideMark/>
          </w:tcPr>
          <w:p w14:paraId="43911D77"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5.85235</w:t>
            </w:r>
          </w:p>
        </w:tc>
      </w:tr>
      <w:tr w:rsidR="00613A10" w:rsidRPr="00613A10" w14:paraId="54AE0633" w14:textId="77777777" w:rsidTr="00613A10">
        <w:trPr>
          <w:trHeight w:val="290"/>
        </w:trPr>
        <w:tc>
          <w:tcPr>
            <w:tcW w:w="2100" w:type="dxa"/>
            <w:tcBorders>
              <w:top w:val="nil"/>
              <w:left w:val="single" w:sz="8" w:space="0" w:color="auto"/>
              <w:bottom w:val="single" w:sz="4" w:space="0" w:color="auto"/>
              <w:right w:val="nil"/>
            </w:tcBorders>
            <w:shd w:val="clear" w:color="000000" w:fill="DAF2D0"/>
            <w:noWrap/>
            <w:vAlign w:val="bottom"/>
            <w:hideMark/>
          </w:tcPr>
          <w:p w14:paraId="5382737D"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No Mud, 13 C (Control)</w:t>
            </w:r>
          </w:p>
        </w:tc>
        <w:tc>
          <w:tcPr>
            <w:tcW w:w="2440" w:type="dxa"/>
            <w:tcBorders>
              <w:top w:val="nil"/>
              <w:left w:val="single" w:sz="4" w:space="0" w:color="auto"/>
              <w:bottom w:val="single" w:sz="4" w:space="0" w:color="auto"/>
              <w:right w:val="single" w:sz="4" w:space="0" w:color="auto"/>
            </w:tcBorders>
            <w:shd w:val="clear" w:color="000000" w:fill="E8E8E8"/>
            <w:noWrap/>
            <w:vAlign w:val="bottom"/>
            <w:hideMark/>
          </w:tcPr>
          <w:p w14:paraId="4E9568B0"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54DDFF74"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2480" w:type="dxa"/>
            <w:tcBorders>
              <w:top w:val="nil"/>
              <w:left w:val="nil"/>
              <w:bottom w:val="single" w:sz="4" w:space="0" w:color="auto"/>
              <w:right w:val="single" w:sz="4" w:space="0" w:color="auto"/>
            </w:tcBorders>
            <w:shd w:val="clear" w:color="auto" w:fill="auto"/>
            <w:noWrap/>
            <w:vAlign w:val="bottom"/>
            <w:hideMark/>
          </w:tcPr>
          <w:p w14:paraId="639DE4F9"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5.5</w:t>
            </w:r>
          </w:p>
        </w:tc>
        <w:tc>
          <w:tcPr>
            <w:tcW w:w="960" w:type="dxa"/>
            <w:tcBorders>
              <w:top w:val="nil"/>
              <w:left w:val="nil"/>
              <w:bottom w:val="single" w:sz="4" w:space="0" w:color="auto"/>
              <w:right w:val="single" w:sz="4" w:space="0" w:color="auto"/>
            </w:tcBorders>
            <w:shd w:val="clear" w:color="auto" w:fill="auto"/>
            <w:noWrap/>
            <w:vAlign w:val="bottom"/>
            <w:hideMark/>
          </w:tcPr>
          <w:p w14:paraId="3B660A8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2.081666</w:t>
            </w:r>
          </w:p>
        </w:tc>
      </w:tr>
      <w:tr w:rsidR="00613A10" w:rsidRPr="00613A10" w14:paraId="2C524BD6" w14:textId="77777777" w:rsidTr="00613A10">
        <w:trPr>
          <w:trHeight w:val="290"/>
        </w:trPr>
        <w:tc>
          <w:tcPr>
            <w:tcW w:w="2100" w:type="dxa"/>
            <w:tcBorders>
              <w:top w:val="nil"/>
              <w:left w:val="single" w:sz="8" w:space="0" w:color="auto"/>
              <w:bottom w:val="single" w:sz="4" w:space="0" w:color="auto"/>
              <w:right w:val="nil"/>
            </w:tcBorders>
            <w:shd w:val="clear" w:color="000000" w:fill="FBE2D5"/>
            <w:noWrap/>
            <w:vAlign w:val="bottom"/>
            <w:hideMark/>
          </w:tcPr>
          <w:p w14:paraId="3330BEBA"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Mud, 27 C</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011A422"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180</w:t>
            </w:r>
          </w:p>
        </w:tc>
        <w:tc>
          <w:tcPr>
            <w:tcW w:w="960" w:type="dxa"/>
            <w:tcBorders>
              <w:top w:val="nil"/>
              <w:left w:val="nil"/>
              <w:bottom w:val="single" w:sz="4" w:space="0" w:color="auto"/>
              <w:right w:val="single" w:sz="4" w:space="0" w:color="auto"/>
            </w:tcBorders>
            <w:shd w:val="clear" w:color="auto" w:fill="auto"/>
            <w:noWrap/>
            <w:vAlign w:val="bottom"/>
            <w:hideMark/>
          </w:tcPr>
          <w:p w14:paraId="6FD29FE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90.24042</w:t>
            </w:r>
          </w:p>
        </w:tc>
        <w:tc>
          <w:tcPr>
            <w:tcW w:w="2480" w:type="dxa"/>
            <w:tcBorders>
              <w:top w:val="nil"/>
              <w:left w:val="nil"/>
              <w:bottom w:val="single" w:sz="4" w:space="0" w:color="auto"/>
              <w:right w:val="single" w:sz="4" w:space="0" w:color="auto"/>
            </w:tcBorders>
            <w:shd w:val="clear" w:color="auto" w:fill="auto"/>
            <w:noWrap/>
            <w:vAlign w:val="bottom"/>
            <w:hideMark/>
          </w:tcPr>
          <w:p w14:paraId="7E4CCB4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59.75</w:t>
            </w:r>
          </w:p>
        </w:tc>
        <w:tc>
          <w:tcPr>
            <w:tcW w:w="960" w:type="dxa"/>
            <w:tcBorders>
              <w:top w:val="nil"/>
              <w:left w:val="nil"/>
              <w:bottom w:val="single" w:sz="4" w:space="0" w:color="auto"/>
              <w:right w:val="single" w:sz="4" w:space="0" w:color="auto"/>
            </w:tcBorders>
            <w:shd w:val="clear" w:color="auto" w:fill="auto"/>
            <w:noWrap/>
            <w:vAlign w:val="bottom"/>
            <w:hideMark/>
          </w:tcPr>
          <w:p w14:paraId="631EB6A9"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6.551081</w:t>
            </w:r>
          </w:p>
        </w:tc>
      </w:tr>
      <w:tr w:rsidR="00613A10" w:rsidRPr="00613A10" w14:paraId="1F1B728C" w14:textId="77777777" w:rsidTr="00613A10">
        <w:trPr>
          <w:trHeight w:val="290"/>
        </w:trPr>
        <w:tc>
          <w:tcPr>
            <w:tcW w:w="2100" w:type="dxa"/>
            <w:tcBorders>
              <w:top w:val="nil"/>
              <w:left w:val="single" w:sz="8" w:space="0" w:color="auto"/>
              <w:bottom w:val="single" w:sz="4" w:space="0" w:color="auto"/>
              <w:right w:val="nil"/>
            </w:tcBorders>
            <w:shd w:val="clear" w:color="000000" w:fill="FBE2D5"/>
            <w:noWrap/>
            <w:vAlign w:val="bottom"/>
            <w:hideMark/>
          </w:tcPr>
          <w:p w14:paraId="6C340D6F"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Mud, 27 C</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3F43A1C"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154</w:t>
            </w:r>
          </w:p>
        </w:tc>
        <w:tc>
          <w:tcPr>
            <w:tcW w:w="960" w:type="dxa"/>
            <w:tcBorders>
              <w:top w:val="nil"/>
              <w:left w:val="nil"/>
              <w:bottom w:val="single" w:sz="4" w:space="0" w:color="auto"/>
              <w:right w:val="single" w:sz="4" w:space="0" w:color="auto"/>
            </w:tcBorders>
            <w:shd w:val="clear" w:color="auto" w:fill="auto"/>
            <w:noWrap/>
            <w:vAlign w:val="bottom"/>
            <w:hideMark/>
          </w:tcPr>
          <w:p w14:paraId="6B661577"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43.13545</w:t>
            </w:r>
          </w:p>
        </w:tc>
        <w:tc>
          <w:tcPr>
            <w:tcW w:w="2480" w:type="dxa"/>
            <w:tcBorders>
              <w:top w:val="nil"/>
              <w:left w:val="nil"/>
              <w:bottom w:val="single" w:sz="4" w:space="0" w:color="auto"/>
              <w:right w:val="single" w:sz="4" w:space="0" w:color="auto"/>
            </w:tcBorders>
            <w:shd w:val="clear" w:color="000000" w:fill="E8E8E8"/>
            <w:noWrap/>
            <w:vAlign w:val="bottom"/>
            <w:hideMark/>
          </w:tcPr>
          <w:p w14:paraId="46527981"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650C2CB1"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r>
      <w:tr w:rsidR="00613A10" w:rsidRPr="00613A10" w14:paraId="404CB5F2" w14:textId="77777777" w:rsidTr="00613A10">
        <w:trPr>
          <w:trHeight w:val="290"/>
        </w:trPr>
        <w:tc>
          <w:tcPr>
            <w:tcW w:w="2100" w:type="dxa"/>
            <w:tcBorders>
              <w:top w:val="nil"/>
              <w:left w:val="single" w:sz="8" w:space="0" w:color="auto"/>
              <w:bottom w:val="single" w:sz="4" w:space="0" w:color="auto"/>
              <w:right w:val="nil"/>
            </w:tcBorders>
            <w:shd w:val="clear" w:color="000000" w:fill="FFFFCC"/>
            <w:noWrap/>
            <w:vAlign w:val="bottom"/>
            <w:hideMark/>
          </w:tcPr>
          <w:p w14:paraId="7B061C14"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No Mud, 27 C</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470267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13</w:t>
            </w:r>
          </w:p>
        </w:tc>
        <w:tc>
          <w:tcPr>
            <w:tcW w:w="960" w:type="dxa"/>
            <w:tcBorders>
              <w:top w:val="nil"/>
              <w:left w:val="nil"/>
              <w:bottom w:val="single" w:sz="4" w:space="0" w:color="auto"/>
              <w:right w:val="single" w:sz="4" w:space="0" w:color="auto"/>
            </w:tcBorders>
            <w:shd w:val="clear" w:color="auto" w:fill="auto"/>
            <w:noWrap/>
            <w:vAlign w:val="bottom"/>
            <w:hideMark/>
          </w:tcPr>
          <w:p w14:paraId="4D7FD4EE"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2.160247</w:t>
            </w:r>
          </w:p>
        </w:tc>
        <w:tc>
          <w:tcPr>
            <w:tcW w:w="2480" w:type="dxa"/>
            <w:tcBorders>
              <w:top w:val="nil"/>
              <w:left w:val="nil"/>
              <w:bottom w:val="single" w:sz="4" w:space="0" w:color="auto"/>
              <w:right w:val="single" w:sz="4" w:space="0" w:color="auto"/>
            </w:tcBorders>
            <w:shd w:val="clear" w:color="auto" w:fill="auto"/>
            <w:noWrap/>
            <w:vAlign w:val="bottom"/>
            <w:hideMark/>
          </w:tcPr>
          <w:p w14:paraId="3C188F6B"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35.75</w:t>
            </w:r>
          </w:p>
        </w:tc>
        <w:tc>
          <w:tcPr>
            <w:tcW w:w="960" w:type="dxa"/>
            <w:tcBorders>
              <w:top w:val="nil"/>
              <w:left w:val="nil"/>
              <w:bottom w:val="single" w:sz="4" w:space="0" w:color="auto"/>
              <w:right w:val="single" w:sz="4" w:space="0" w:color="auto"/>
            </w:tcBorders>
            <w:shd w:val="clear" w:color="auto" w:fill="auto"/>
            <w:noWrap/>
            <w:vAlign w:val="bottom"/>
            <w:hideMark/>
          </w:tcPr>
          <w:p w14:paraId="1542D75D"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18.13606</w:t>
            </w:r>
          </w:p>
        </w:tc>
      </w:tr>
      <w:tr w:rsidR="00613A10" w:rsidRPr="00613A10" w14:paraId="1AFE2589" w14:textId="77777777" w:rsidTr="00613A10">
        <w:trPr>
          <w:trHeight w:val="300"/>
        </w:trPr>
        <w:tc>
          <w:tcPr>
            <w:tcW w:w="2100" w:type="dxa"/>
            <w:tcBorders>
              <w:top w:val="nil"/>
              <w:left w:val="single" w:sz="8" w:space="0" w:color="auto"/>
              <w:bottom w:val="single" w:sz="8" w:space="0" w:color="auto"/>
              <w:right w:val="nil"/>
            </w:tcBorders>
            <w:shd w:val="clear" w:color="000000" w:fill="FFFFCC"/>
            <w:noWrap/>
            <w:vAlign w:val="bottom"/>
            <w:hideMark/>
          </w:tcPr>
          <w:p w14:paraId="59ECD05E" w14:textId="77777777" w:rsidR="00613A10" w:rsidRPr="00613A10" w:rsidRDefault="00613A10" w:rsidP="00613A10">
            <w:pPr>
              <w:spacing w:after="0" w:line="240" w:lineRule="auto"/>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No Mud, 27 C</w:t>
            </w:r>
          </w:p>
        </w:tc>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D027C9D"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13738468"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3.366502</w:t>
            </w:r>
          </w:p>
        </w:tc>
        <w:tc>
          <w:tcPr>
            <w:tcW w:w="2480" w:type="dxa"/>
            <w:tcBorders>
              <w:top w:val="nil"/>
              <w:left w:val="nil"/>
              <w:bottom w:val="single" w:sz="4" w:space="0" w:color="auto"/>
              <w:right w:val="single" w:sz="4" w:space="0" w:color="auto"/>
            </w:tcBorders>
            <w:shd w:val="clear" w:color="000000" w:fill="E8E8E8"/>
            <w:noWrap/>
            <w:vAlign w:val="bottom"/>
            <w:hideMark/>
          </w:tcPr>
          <w:p w14:paraId="51AB3683"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c>
          <w:tcPr>
            <w:tcW w:w="960" w:type="dxa"/>
            <w:tcBorders>
              <w:top w:val="nil"/>
              <w:left w:val="nil"/>
              <w:bottom w:val="single" w:sz="4" w:space="0" w:color="auto"/>
              <w:right w:val="single" w:sz="4" w:space="0" w:color="auto"/>
            </w:tcBorders>
            <w:shd w:val="clear" w:color="000000" w:fill="E8E8E8"/>
            <w:noWrap/>
            <w:vAlign w:val="bottom"/>
            <w:hideMark/>
          </w:tcPr>
          <w:p w14:paraId="30572A4A" w14:textId="77777777" w:rsidR="00613A10" w:rsidRPr="00613A10" w:rsidRDefault="00613A10" w:rsidP="00613A10">
            <w:pPr>
              <w:spacing w:after="0" w:line="240" w:lineRule="auto"/>
              <w:jc w:val="center"/>
              <w:rPr>
                <w:rFonts w:ascii="Calibri" w:eastAsia="Times New Roman" w:hAnsi="Calibri" w:cs="Calibri"/>
                <w:color w:val="000000"/>
                <w:kern w:val="0"/>
                <w:sz w:val="22"/>
                <w:szCs w:val="22"/>
                <w14:ligatures w14:val="none"/>
              </w:rPr>
            </w:pPr>
            <w:r w:rsidRPr="00613A10">
              <w:rPr>
                <w:rFonts w:ascii="Calibri" w:eastAsia="Times New Roman" w:hAnsi="Calibri" w:cs="Calibri"/>
                <w:color w:val="000000"/>
                <w:kern w:val="0"/>
                <w:sz w:val="22"/>
                <w:szCs w:val="22"/>
                <w14:ligatures w14:val="none"/>
              </w:rPr>
              <w:t>-</w:t>
            </w:r>
          </w:p>
        </w:tc>
      </w:tr>
    </w:tbl>
    <w:p w14:paraId="722C41FB" w14:textId="77777777" w:rsidR="00613A10" w:rsidRPr="00613A10" w:rsidRDefault="00613A10" w:rsidP="00613A10">
      <w:pPr>
        <w:spacing w:line="240" w:lineRule="auto"/>
        <w:rPr>
          <w:rFonts w:ascii="Calibri" w:hAnsi="Calibri" w:cs="Calibri"/>
          <w:sz w:val="22"/>
          <w:szCs w:val="22"/>
        </w:rPr>
      </w:pPr>
    </w:p>
    <w:p w14:paraId="06C2A13D" w14:textId="3AA1F8FC" w:rsidR="00613A10" w:rsidRPr="00613A10" w:rsidRDefault="00613A10" w:rsidP="001E62B8">
      <w:pPr>
        <w:spacing w:line="240" w:lineRule="auto"/>
        <w:rPr>
          <w:rFonts w:ascii="Calibri" w:hAnsi="Calibri" w:cs="Calibri"/>
          <w:sz w:val="22"/>
          <w:szCs w:val="22"/>
        </w:rPr>
      </w:pPr>
      <w:r w:rsidRPr="00613A10">
        <w:rPr>
          <w:rFonts w:ascii="Calibri" w:hAnsi="Calibri" w:cs="Calibri"/>
          <w:sz w:val="22"/>
          <w:szCs w:val="22"/>
        </w:rPr>
        <w:br/>
      </w:r>
    </w:p>
    <w:p w14:paraId="73B05994" w14:textId="77777777" w:rsidR="00613A10" w:rsidRPr="00613A10" w:rsidRDefault="00613A10" w:rsidP="00613A10">
      <w:pPr>
        <w:spacing w:line="240" w:lineRule="auto"/>
        <w:rPr>
          <w:rFonts w:ascii="Calibri" w:hAnsi="Calibri" w:cs="Calibri"/>
          <w:sz w:val="22"/>
          <w:szCs w:val="22"/>
        </w:rPr>
      </w:pPr>
    </w:p>
    <w:p w14:paraId="4F697A5A"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 xml:space="preserve">Hu, ZZ., </w:t>
      </w:r>
      <w:proofErr w:type="spellStart"/>
      <w:r w:rsidRPr="00613A10">
        <w:rPr>
          <w:rFonts w:ascii="Calibri" w:hAnsi="Calibri" w:cs="Calibri"/>
          <w:sz w:val="22"/>
          <w:szCs w:val="22"/>
        </w:rPr>
        <w:t>McPhaden</w:t>
      </w:r>
      <w:proofErr w:type="spellEnd"/>
      <w:r w:rsidRPr="00613A10">
        <w:rPr>
          <w:rFonts w:ascii="Calibri" w:hAnsi="Calibri" w:cs="Calibri"/>
          <w:sz w:val="22"/>
          <w:szCs w:val="22"/>
        </w:rPr>
        <w:t xml:space="preserve">, M.J., Huang, B. </w:t>
      </w:r>
      <w:r w:rsidRPr="00613A10">
        <w:rPr>
          <w:rFonts w:ascii="Calibri" w:hAnsi="Calibri" w:cs="Calibri"/>
          <w:i/>
          <w:iCs/>
          <w:sz w:val="22"/>
          <w:szCs w:val="22"/>
        </w:rPr>
        <w:t>et al.</w:t>
      </w:r>
      <w:r w:rsidRPr="00613A10">
        <w:rPr>
          <w:rFonts w:ascii="Calibri" w:hAnsi="Calibri" w:cs="Calibri"/>
          <w:sz w:val="22"/>
          <w:szCs w:val="22"/>
        </w:rPr>
        <w:t xml:space="preserve"> Accelerated warming in the North Pacific since 2013. </w:t>
      </w:r>
      <w:r w:rsidRPr="00613A10">
        <w:rPr>
          <w:rFonts w:ascii="Calibri" w:hAnsi="Calibri" w:cs="Calibri"/>
          <w:i/>
          <w:iCs/>
          <w:sz w:val="22"/>
          <w:szCs w:val="22"/>
        </w:rPr>
        <w:t>Nat. Clim. Chang.</w:t>
      </w:r>
      <w:r w:rsidRPr="00613A10">
        <w:rPr>
          <w:rFonts w:ascii="Calibri" w:hAnsi="Calibri" w:cs="Calibri"/>
          <w:sz w:val="22"/>
          <w:szCs w:val="22"/>
        </w:rPr>
        <w:t xml:space="preserve"> 14, 929–931 (2024). </w:t>
      </w:r>
      <w:hyperlink r:id="rId9" w:history="1">
        <w:r w:rsidRPr="00613A10">
          <w:rPr>
            <w:rStyle w:val="Hyperlink"/>
            <w:rFonts w:ascii="Calibri" w:hAnsi="Calibri" w:cs="Calibri"/>
            <w:sz w:val="22"/>
            <w:szCs w:val="22"/>
          </w:rPr>
          <w:t>https://doi.org/10.1038/s41558-024-02088-x</w:t>
        </w:r>
      </w:hyperlink>
    </w:p>
    <w:p w14:paraId="1C87A4A4" w14:textId="77777777" w:rsidR="00613A10" w:rsidRPr="00613A10" w:rsidRDefault="00613A10" w:rsidP="00613A10">
      <w:pPr>
        <w:spacing w:line="240" w:lineRule="auto"/>
        <w:rPr>
          <w:rFonts w:ascii="Calibri" w:hAnsi="Calibri" w:cs="Calibri"/>
          <w:sz w:val="22"/>
          <w:szCs w:val="22"/>
        </w:rPr>
      </w:pPr>
      <w:r w:rsidRPr="00613A10">
        <w:rPr>
          <w:rFonts w:ascii="Calibri" w:hAnsi="Calibri" w:cs="Calibri"/>
          <w:sz w:val="22"/>
          <w:szCs w:val="22"/>
        </w:rPr>
        <w:t>1.</w:t>
      </w:r>
    </w:p>
    <w:p w14:paraId="1AC3E82B" w14:textId="77777777" w:rsidR="00613A10" w:rsidRPr="00613A10" w:rsidRDefault="00613A10" w:rsidP="00613A10">
      <w:pPr>
        <w:spacing w:line="240" w:lineRule="auto"/>
        <w:rPr>
          <w:rFonts w:ascii="Calibri" w:hAnsi="Calibri" w:cs="Calibri"/>
          <w:sz w:val="22"/>
          <w:szCs w:val="22"/>
        </w:rPr>
      </w:pPr>
      <w:proofErr w:type="spellStart"/>
      <w:r w:rsidRPr="00613A10">
        <w:rPr>
          <w:rFonts w:ascii="Calibri" w:hAnsi="Calibri" w:cs="Calibri"/>
          <w:sz w:val="22"/>
          <w:szCs w:val="22"/>
        </w:rPr>
        <w:t>WoRMS</w:t>
      </w:r>
      <w:proofErr w:type="spellEnd"/>
      <w:r w:rsidRPr="00613A10">
        <w:rPr>
          <w:rFonts w:ascii="Calibri" w:hAnsi="Calibri" w:cs="Calibri"/>
          <w:sz w:val="22"/>
          <w:szCs w:val="22"/>
        </w:rPr>
        <w:t xml:space="preserve"> - World Register of Marine Species - </w:t>
      </w:r>
      <w:proofErr w:type="spellStart"/>
      <w:r w:rsidRPr="00613A10">
        <w:rPr>
          <w:rFonts w:ascii="Calibri" w:hAnsi="Calibri" w:cs="Calibri"/>
          <w:sz w:val="22"/>
          <w:szCs w:val="22"/>
        </w:rPr>
        <w:t>Hemigrapsus</w:t>
      </w:r>
      <w:proofErr w:type="spellEnd"/>
      <w:r w:rsidRPr="00613A10">
        <w:rPr>
          <w:rFonts w:ascii="Calibri" w:hAnsi="Calibri" w:cs="Calibri"/>
          <w:sz w:val="22"/>
          <w:szCs w:val="22"/>
        </w:rPr>
        <w:t xml:space="preserve"> </w:t>
      </w:r>
      <w:proofErr w:type="spellStart"/>
      <w:r w:rsidRPr="00613A10">
        <w:rPr>
          <w:rFonts w:ascii="Calibri" w:hAnsi="Calibri" w:cs="Calibri"/>
          <w:sz w:val="22"/>
          <w:szCs w:val="22"/>
        </w:rPr>
        <w:t>oregonensis</w:t>
      </w:r>
      <w:proofErr w:type="spellEnd"/>
      <w:r w:rsidRPr="00613A10">
        <w:rPr>
          <w:rFonts w:ascii="Calibri" w:hAnsi="Calibri" w:cs="Calibri"/>
          <w:sz w:val="22"/>
          <w:szCs w:val="22"/>
        </w:rPr>
        <w:t xml:space="preserve"> (Dana, 1851).</w:t>
      </w:r>
      <w:hyperlink r:id="rId10" w:anchor="attributes" w:history="1">
        <w:r w:rsidRPr="00613A10">
          <w:rPr>
            <w:rStyle w:val="Hyperlink"/>
            <w:rFonts w:ascii="Calibri" w:hAnsi="Calibri" w:cs="Calibri"/>
            <w:sz w:val="22"/>
            <w:szCs w:val="22"/>
          </w:rPr>
          <w:t xml:space="preserve"> https://www.marinespecies.org/aphia.php?p=taxdetails&amp;id=444778#attributes</w:t>
        </w:r>
      </w:hyperlink>
      <w:r w:rsidRPr="00613A10">
        <w:rPr>
          <w:rFonts w:ascii="Calibri" w:hAnsi="Calibri" w:cs="Calibri"/>
          <w:sz w:val="22"/>
          <w:szCs w:val="22"/>
        </w:rPr>
        <w:t>.</w:t>
      </w:r>
    </w:p>
    <w:p w14:paraId="3C357A55" w14:textId="77777777" w:rsidR="006A5473" w:rsidRPr="001E62B8" w:rsidRDefault="006A5473" w:rsidP="00613A10">
      <w:pPr>
        <w:spacing w:line="240" w:lineRule="auto"/>
        <w:rPr>
          <w:rFonts w:ascii="Calibri" w:hAnsi="Calibri" w:cs="Calibri"/>
          <w:sz w:val="22"/>
          <w:szCs w:val="22"/>
        </w:rPr>
      </w:pPr>
    </w:p>
    <w:sectPr w:rsidR="006A5473" w:rsidRPr="001E62B8" w:rsidSect="00D45C6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10"/>
    <w:rsid w:val="00150CA9"/>
    <w:rsid w:val="001E62B8"/>
    <w:rsid w:val="0021168E"/>
    <w:rsid w:val="00613A10"/>
    <w:rsid w:val="006A5473"/>
    <w:rsid w:val="006C2A1A"/>
    <w:rsid w:val="00AE7FD1"/>
    <w:rsid w:val="00C02745"/>
    <w:rsid w:val="00D45C60"/>
    <w:rsid w:val="00D952AA"/>
    <w:rsid w:val="00DE3640"/>
    <w:rsid w:val="00E1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50DF"/>
  <w15:chartTrackingRefBased/>
  <w15:docId w15:val="{7E7CC358-4C4A-4172-9E1F-4CFB38F4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A10"/>
    <w:rPr>
      <w:rFonts w:eastAsiaTheme="majorEastAsia" w:cstheme="majorBidi"/>
      <w:color w:val="272727" w:themeColor="text1" w:themeTint="D8"/>
    </w:rPr>
  </w:style>
  <w:style w:type="paragraph" w:styleId="Title">
    <w:name w:val="Title"/>
    <w:basedOn w:val="Normal"/>
    <w:next w:val="Normal"/>
    <w:link w:val="TitleChar"/>
    <w:uiPriority w:val="10"/>
    <w:qFormat/>
    <w:rsid w:val="00613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A10"/>
    <w:pPr>
      <w:spacing w:before="160"/>
      <w:jc w:val="center"/>
    </w:pPr>
    <w:rPr>
      <w:i/>
      <w:iCs/>
      <w:color w:val="404040" w:themeColor="text1" w:themeTint="BF"/>
    </w:rPr>
  </w:style>
  <w:style w:type="character" w:customStyle="1" w:styleId="QuoteChar">
    <w:name w:val="Quote Char"/>
    <w:basedOn w:val="DefaultParagraphFont"/>
    <w:link w:val="Quote"/>
    <w:uiPriority w:val="29"/>
    <w:rsid w:val="00613A10"/>
    <w:rPr>
      <w:i/>
      <w:iCs/>
      <w:color w:val="404040" w:themeColor="text1" w:themeTint="BF"/>
    </w:rPr>
  </w:style>
  <w:style w:type="paragraph" w:styleId="ListParagraph">
    <w:name w:val="List Paragraph"/>
    <w:basedOn w:val="Normal"/>
    <w:uiPriority w:val="34"/>
    <w:qFormat/>
    <w:rsid w:val="00613A10"/>
    <w:pPr>
      <w:ind w:left="720"/>
      <w:contextualSpacing/>
    </w:pPr>
  </w:style>
  <w:style w:type="character" w:styleId="IntenseEmphasis">
    <w:name w:val="Intense Emphasis"/>
    <w:basedOn w:val="DefaultParagraphFont"/>
    <w:uiPriority w:val="21"/>
    <w:qFormat/>
    <w:rsid w:val="00613A10"/>
    <w:rPr>
      <w:i/>
      <w:iCs/>
      <w:color w:val="0F4761" w:themeColor="accent1" w:themeShade="BF"/>
    </w:rPr>
  </w:style>
  <w:style w:type="paragraph" w:styleId="IntenseQuote">
    <w:name w:val="Intense Quote"/>
    <w:basedOn w:val="Normal"/>
    <w:next w:val="Normal"/>
    <w:link w:val="IntenseQuoteChar"/>
    <w:uiPriority w:val="30"/>
    <w:qFormat/>
    <w:rsid w:val="00613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A10"/>
    <w:rPr>
      <w:i/>
      <w:iCs/>
      <w:color w:val="0F4761" w:themeColor="accent1" w:themeShade="BF"/>
    </w:rPr>
  </w:style>
  <w:style w:type="character" w:styleId="IntenseReference">
    <w:name w:val="Intense Reference"/>
    <w:basedOn w:val="DefaultParagraphFont"/>
    <w:uiPriority w:val="32"/>
    <w:qFormat/>
    <w:rsid w:val="00613A10"/>
    <w:rPr>
      <w:b/>
      <w:bCs/>
      <w:smallCaps/>
      <w:color w:val="0F4761" w:themeColor="accent1" w:themeShade="BF"/>
      <w:spacing w:val="5"/>
    </w:rPr>
  </w:style>
  <w:style w:type="character" w:styleId="Hyperlink">
    <w:name w:val="Hyperlink"/>
    <w:basedOn w:val="DefaultParagraphFont"/>
    <w:uiPriority w:val="99"/>
    <w:unhideWhenUsed/>
    <w:rsid w:val="00613A10"/>
    <w:rPr>
      <w:color w:val="467886" w:themeColor="hyperlink"/>
      <w:u w:val="single"/>
    </w:rPr>
  </w:style>
  <w:style w:type="character" w:styleId="UnresolvedMention">
    <w:name w:val="Unresolved Mention"/>
    <w:basedOn w:val="DefaultParagraphFont"/>
    <w:uiPriority w:val="99"/>
    <w:semiHidden/>
    <w:unhideWhenUsed/>
    <w:rsid w:val="0061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6934">
      <w:bodyDiv w:val="1"/>
      <w:marLeft w:val="0"/>
      <w:marRight w:val="0"/>
      <w:marTop w:val="0"/>
      <w:marBottom w:val="0"/>
      <w:divBdr>
        <w:top w:val="none" w:sz="0" w:space="0" w:color="auto"/>
        <w:left w:val="none" w:sz="0" w:space="0" w:color="auto"/>
        <w:bottom w:val="none" w:sz="0" w:space="0" w:color="auto"/>
        <w:right w:val="none" w:sz="0" w:space="0" w:color="auto"/>
      </w:divBdr>
    </w:div>
    <w:div w:id="471287947">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30581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marinespecies.org/aphia.php?p=taxdetails&amp;id=444778" TargetMode="External"/><Relationship Id="rId4" Type="http://schemas.openxmlformats.org/officeDocument/2006/relationships/image" Target="media/image1.png"/><Relationship Id="rId9" Type="http://schemas.openxmlformats.org/officeDocument/2006/relationships/hyperlink" Target="https://doi.org/10.1038/s41558-024-02088-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Resazurin by Treatment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Sheet4!$A$5</c:f>
              <c:strCache>
                <c:ptCount val="1"/>
                <c:pt idx="0">
                  <c:v>Week 1</c:v>
                </c:pt>
              </c:strCache>
            </c:strRef>
          </c:tx>
          <c:spPr>
            <a:solidFill>
              <a:schemeClr val="accent1"/>
            </a:solidFill>
            <a:ln>
              <a:noFill/>
            </a:ln>
            <a:effectLst/>
          </c:spPr>
          <c:invertIfNegative val="0"/>
          <c:errBars>
            <c:errBarType val="both"/>
            <c:errValType val="cust"/>
            <c:noEndCap val="0"/>
            <c:plus>
              <c:numRef>
                <c:f>Sheet4!$B$8:$J$8</c:f>
                <c:numCache>
                  <c:formatCode>General</c:formatCode>
                  <c:ptCount val="9"/>
                  <c:pt idx="0">
                    <c:v>18.503736278761803</c:v>
                  </c:pt>
                  <c:pt idx="1">
                    <c:v>17.622475885594103</c:v>
                  </c:pt>
                  <c:pt idx="2">
                    <c:v>7.2580693419287536</c:v>
                  </c:pt>
                  <c:pt idx="3">
                    <c:v>25.249237915722684</c:v>
                  </c:pt>
                  <c:pt idx="4">
                    <c:v>30.712496228021124</c:v>
                  </c:pt>
                  <c:pt idx="5">
                    <c:v>42.342858245197711</c:v>
                  </c:pt>
                  <c:pt idx="6">
                    <c:v>127.36040955353418</c:v>
                  </c:pt>
                  <c:pt idx="7">
                    <c:v>193.39767512980779</c:v>
                  </c:pt>
                  <c:pt idx="8">
                    <c:v>270.94840708288336</c:v>
                  </c:pt>
                </c:numCache>
              </c:numRef>
            </c:plus>
            <c:minus>
              <c:numRef>
                <c:f>Sheet4!$B$8:$J$8</c:f>
                <c:numCache>
                  <c:formatCode>General</c:formatCode>
                  <c:ptCount val="9"/>
                  <c:pt idx="0">
                    <c:v>18.503736278761803</c:v>
                  </c:pt>
                  <c:pt idx="1">
                    <c:v>17.622475885594103</c:v>
                  </c:pt>
                  <c:pt idx="2">
                    <c:v>7.2580693419287536</c:v>
                  </c:pt>
                  <c:pt idx="3">
                    <c:v>25.249237915722684</c:v>
                  </c:pt>
                  <c:pt idx="4">
                    <c:v>30.712496228021124</c:v>
                  </c:pt>
                  <c:pt idx="5">
                    <c:v>42.342858245197711</c:v>
                  </c:pt>
                  <c:pt idx="6">
                    <c:v>127.36040955353418</c:v>
                  </c:pt>
                  <c:pt idx="7">
                    <c:v>193.39767512980779</c:v>
                  </c:pt>
                  <c:pt idx="8">
                    <c:v>270.94840708288336</c:v>
                  </c:pt>
                </c:numCache>
              </c:numRef>
            </c:minus>
            <c:spPr>
              <a:noFill/>
              <a:ln w="9525" cap="flat" cmpd="sng" algn="ctr">
                <a:solidFill>
                  <a:schemeClr val="tx1">
                    <a:lumMod val="65000"/>
                    <a:lumOff val="35000"/>
                  </a:schemeClr>
                </a:solidFill>
                <a:round/>
              </a:ln>
              <a:effectLst/>
            </c:spPr>
          </c:errBars>
          <c:cat>
            <c:strRef>
              <c:f>Sheet4!$B$4:$J$4</c:f>
              <c:strCache>
                <c:ptCount val="9"/>
                <c:pt idx="0">
                  <c:v>30min - Mud+heat </c:v>
                </c:pt>
                <c:pt idx="1">
                  <c:v>60min Mud+Heat </c:v>
                </c:pt>
                <c:pt idx="2">
                  <c:v>90min Mud+Heat </c:v>
                </c:pt>
                <c:pt idx="3">
                  <c:v>30min - Heat </c:v>
                </c:pt>
                <c:pt idx="4">
                  <c:v>60min - heat </c:v>
                </c:pt>
                <c:pt idx="5">
                  <c:v>90min - heat</c:v>
                </c:pt>
                <c:pt idx="6">
                  <c:v>30min - Mud + cold</c:v>
                </c:pt>
                <c:pt idx="7">
                  <c:v>60min - Mud+cold </c:v>
                </c:pt>
                <c:pt idx="8">
                  <c:v>90min - Mud+cold </c:v>
                </c:pt>
              </c:strCache>
            </c:strRef>
          </c:cat>
          <c:val>
            <c:numRef>
              <c:f>Sheet4!$B$5:$J$5</c:f>
              <c:numCache>
                <c:formatCode>General</c:formatCode>
                <c:ptCount val="9"/>
                <c:pt idx="0">
                  <c:v>136.78572270000001</c:v>
                </c:pt>
                <c:pt idx="1">
                  <c:v>192.81980129999999</c:v>
                </c:pt>
                <c:pt idx="2">
                  <c:v>243.65914225</c:v>
                </c:pt>
                <c:pt idx="3">
                  <c:v>201.37450665</c:v>
                </c:pt>
                <c:pt idx="4">
                  <c:v>254.46179764999999</c:v>
                </c:pt>
                <c:pt idx="5">
                  <c:v>308.69961669999998</c:v>
                </c:pt>
                <c:pt idx="6">
                  <c:v>265.30287195</c:v>
                </c:pt>
                <c:pt idx="7">
                  <c:v>379.24016254999998</c:v>
                </c:pt>
                <c:pt idx="8">
                  <c:v>486.44217839999999</c:v>
                </c:pt>
              </c:numCache>
            </c:numRef>
          </c:val>
          <c:extLst>
            <c:ext xmlns:c16="http://schemas.microsoft.com/office/drawing/2014/chart" uri="{C3380CC4-5D6E-409C-BE32-E72D297353CC}">
              <c16:uniqueId val="{00000000-75A2-46C1-9275-0D4B5E60701A}"/>
            </c:ext>
          </c:extLst>
        </c:ser>
        <c:ser>
          <c:idx val="1"/>
          <c:order val="1"/>
          <c:tx>
            <c:strRef>
              <c:f>Sheet4!$A$6</c:f>
              <c:strCache>
                <c:ptCount val="1"/>
                <c:pt idx="0">
                  <c:v>Week 2</c:v>
                </c:pt>
              </c:strCache>
            </c:strRef>
          </c:tx>
          <c:spPr>
            <a:solidFill>
              <a:schemeClr val="accent2"/>
            </a:solidFill>
            <a:ln>
              <a:noFill/>
            </a:ln>
            <a:effectLst/>
          </c:spPr>
          <c:invertIfNegative val="0"/>
          <c:cat>
            <c:strRef>
              <c:f>Sheet4!$B$4:$J$4</c:f>
              <c:strCache>
                <c:ptCount val="9"/>
                <c:pt idx="0">
                  <c:v>30min - Mud+heat </c:v>
                </c:pt>
                <c:pt idx="1">
                  <c:v>60min Mud+Heat </c:v>
                </c:pt>
                <c:pt idx="2">
                  <c:v>90min Mud+Heat </c:v>
                </c:pt>
                <c:pt idx="3">
                  <c:v>30min - Heat </c:v>
                </c:pt>
                <c:pt idx="4">
                  <c:v>60min - heat </c:v>
                </c:pt>
                <c:pt idx="5">
                  <c:v>90min - heat</c:v>
                </c:pt>
                <c:pt idx="6">
                  <c:v>30min - Mud + cold</c:v>
                </c:pt>
                <c:pt idx="7">
                  <c:v>60min - Mud+cold </c:v>
                </c:pt>
                <c:pt idx="8">
                  <c:v>90min - Mud+cold </c:v>
                </c:pt>
              </c:strCache>
            </c:strRef>
          </c:cat>
          <c:val>
            <c:numRef>
              <c:f>Sheet4!$B$6:$J$6</c:f>
              <c:numCache>
                <c:formatCode>General</c:formatCode>
                <c:ptCount val="9"/>
                <c:pt idx="0">
                  <c:v>85.702680749999999</c:v>
                </c:pt>
                <c:pt idx="1">
                  <c:v>124.2891958</c:v>
                </c:pt>
                <c:pt idx="2">
                  <c:v>157.39236389999999</c:v>
                </c:pt>
                <c:pt idx="3">
                  <c:v>130.3294574</c:v>
                </c:pt>
                <c:pt idx="4">
                  <c:v>147.28682169999999</c:v>
                </c:pt>
                <c:pt idx="5">
                  <c:v>176.8410853</c:v>
                </c:pt>
                <c:pt idx="6">
                  <c:v>225.05062190000001</c:v>
                </c:pt>
                <c:pt idx="7">
                  <c:v>366.79201619999998</c:v>
                </c:pt>
                <c:pt idx="8">
                  <c:v>495.80561180000001</c:v>
                </c:pt>
              </c:numCache>
            </c:numRef>
          </c:val>
          <c:extLst>
            <c:ext xmlns:c16="http://schemas.microsoft.com/office/drawing/2014/chart" uri="{C3380CC4-5D6E-409C-BE32-E72D297353CC}">
              <c16:uniqueId val="{00000001-75A2-46C1-9275-0D4B5E60701A}"/>
            </c:ext>
          </c:extLst>
        </c:ser>
        <c:dLbls>
          <c:showLegendKey val="0"/>
          <c:showVal val="0"/>
          <c:showCatName val="0"/>
          <c:showSerName val="0"/>
          <c:showPercent val="0"/>
          <c:showBubbleSize val="0"/>
        </c:dLbls>
        <c:gapWidth val="182"/>
        <c:axId val="1669767296"/>
        <c:axId val="1669770176"/>
      </c:barChart>
      <c:catAx>
        <c:axId val="1669767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770176"/>
        <c:crosses val="autoZero"/>
        <c:auto val="1"/>
        <c:lblAlgn val="ctr"/>
        <c:lblOffset val="100"/>
        <c:noMultiLvlLbl val="0"/>
      </c:catAx>
      <c:valAx>
        <c:axId val="166977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RFU/g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76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Righting</a:t>
            </a:r>
            <a:r>
              <a:rPr lang="en-US" baseline="0"/>
              <a:t> Time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Compiled!$G$30</c:f>
              <c:strCache>
                <c:ptCount val="1"/>
                <c:pt idx="0">
                  <c:v>Week 1</c:v>
                </c:pt>
              </c:strCache>
            </c:strRef>
          </c:tx>
          <c:spPr>
            <a:solidFill>
              <a:schemeClr val="accent1"/>
            </a:solidFill>
            <a:ln>
              <a:noFill/>
            </a:ln>
            <a:effectLst/>
          </c:spPr>
          <c:invertIfNegative val="0"/>
          <c:cat>
            <c:strRef>
              <c:f>Compiled!$F$31:$F$34</c:f>
              <c:strCache>
                <c:ptCount val="4"/>
                <c:pt idx="0">
                  <c:v>Mud Cold</c:v>
                </c:pt>
                <c:pt idx="1">
                  <c:v>Mud Heat</c:v>
                </c:pt>
                <c:pt idx="2">
                  <c:v>No Mud Cold (Control)</c:v>
                </c:pt>
                <c:pt idx="3">
                  <c:v>No Mud Heat</c:v>
                </c:pt>
              </c:strCache>
            </c:strRef>
          </c:cat>
          <c:val>
            <c:numRef>
              <c:f>Compiled!$G$31:$G$34</c:f>
              <c:numCache>
                <c:formatCode>General</c:formatCode>
                <c:ptCount val="4"/>
                <c:pt idx="0">
                  <c:v>0.89</c:v>
                </c:pt>
                <c:pt idx="1">
                  <c:v>2.7825000000000002</c:v>
                </c:pt>
                <c:pt idx="2">
                  <c:v>1.595</c:v>
                </c:pt>
                <c:pt idx="3">
                  <c:v>0.80999999999999994</c:v>
                </c:pt>
              </c:numCache>
            </c:numRef>
          </c:val>
          <c:extLst>
            <c:ext xmlns:c16="http://schemas.microsoft.com/office/drawing/2014/chart" uri="{C3380CC4-5D6E-409C-BE32-E72D297353CC}">
              <c16:uniqueId val="{00000000-35D4-4AE2-92E2-251FC5CD17E0}"/>
            </c:ext>
          </c:extLst>
        </c:ser>
        <c:ser>
          <c:idx val="1"/>
          <c:order val="1"/>
          <c:tx>
            <c:strRef>
              <c:f>Compiled!$H$30</c:f>
              <c:strCache>
                <c:ptCount val="1"/>
                <c:pt idx="0">
                  <c:v>Week 2</c:v>
                </c:pt>
              </c:strCache>
            </c:strRef>
          </c:tx>
          <c:spPr>
            <a:solidFill>
              <a:schemeClr val="accent6">
                <a:lumMod val="75000"/>
              </a:schemeClr>
            </a:solidFill>
            <a:ln>
              <a:noFill/>
            </a:ln>
            <a:effectLst/>
          </c:spPr>
          <c:invertIfNegative val="0"/>
          <c:cat>
            <c:strRef>
              <c:f>Compiled!$F$31:$F$34</c:f>
              <c:strCache>
                <c:ptCount val="4"/>
                <c:pt idx="0">
                  <c:v>Mud Cold</c:v>
                </c:pt>
                <c:pt idx="1">
                  <c:v>Mud Heat</c:v>
                </c:pt>
                <c:pt idx="2">
                  <c:v>No Mud Cold (Control)</c:v>
                </c:pt>
                <c:pt idx="3">
                  <c:v>No Mud Heat</c:v>
                </c:pt>
              </c:strCache>
            </c:strRef>
          </c:cat>
          <c:val>
            <c:numRef>
              <c:f>Compiled!$H$31:$H$34</c:f>
              <c:numCache>
                <c:formatCode>General</c:formatCode>
                <c:ptCount val="4"/>
                <c:pt idx="0">
                  <c:v>3.6750000000000003</c:v>
                </c:pt>
                <c:pt idx="1">
                  <c:v>3.7800000000000002</c:v>
                </c:pt>
                <c:pt idx="2">
                  <c:v>1.595</c:v>
                </c:pt>
                <c:pt idx="3">
                  <c:v>1.2749999999999999</c:v>
                </c:pt>
              </c:numCache>
            </c:numRef>
          </c:val>
          <c:extLst>
            <c:ext xmlns:c16="http://schemas.microsoft.com/office/drawing/2014/chart" uri="{C3380CC4-5D6E-409C-BE32-E72D297353CC}">
              <c16:uniqueId val="{00000001-35D4-4AE2-92E2-251FC5CD17E0}"/>
            </c:ext>
          </c:extLst>
        </c:ser>
        <c:dLbls>
          <c:showLegendKey val="0"/>
          <c:showVal val="0"/>
          <c:showCatName val="0"/>
          <c:showSerName val="0"/>
          <c:showPercent val="0"/>
          <c:showBubbleSize val="0"/>
        </c:dLbls>
        <c:gapWidth val="219"/>
        <c:overlap val="-27"/>
        <c:axId val="1909690688"/>
        <c:axId val="1909691168"/>
      </c:barChart>
      <c:catAx>
        <c:axId val="1909690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691168"/>
        <c:crosses val="autoZero"/>
        <c:auto val="1"/>
        <c:lblAlgn val="ctr"/>
        <c:lblOffset val="100"/>
        <c:noMultiLvlLbl val="0"/>
      </c:catAx>
      <c:valAx>
        <c:axId val="190969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Rrorient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690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Shively</dc:creator>
  <cp:keywords/>
  <dc:description/>
  <cp:lastModifiedBy>Luke Shively</cp:lastModifiedBy>
  <cp:revision>1</cp:revision>
  <dcterms:created xsi:type="dcterms:W3CDTF">2025-06-02T05:21:00Z</dcterms:created>
  <dcterms:modified xsi:type="dcterms:W3CDTF">2025-06-02T07:19:00Z</dcterms:modified>
</cp:coreProperties>
</file>