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7C1D3F" w14:textId="0DB80C06" w:rsidR="003A51E4" w:rsidRDefault="003A51E4" w:rsidP="003A51E4">
      <w:pPr>
        <w:ind w:left="440" w:hanging="440"/>
        <w:rPr>
          <w:sz w:val="44"/>
          <w:szCs w:val="44"/>
        </w:rPr>
      </w:pPr>
      <w:r w:rsidRPr="003A51E4">
        <w:rPr>
          <w:rFonts w:hint="eastAsia"/>
          <w:sz w:val="44"/>
          <w:szCs w:val="44"/>
        </w:rPr>
        <w:t>赴欧盟犬猫检疫要求</w:t>
      </w:r>
    </w:p>
    <w:p w14:paraId="423198CE" w14:textId="3C589AD2" w:rsidR="00BF5811" w:rsidRPr="00BF5811" w:rsidRDefault="00BF5811" w:rsidP="00BF5811">
      <w:pPr>
        <w:rPr>
          <w:rFonts w:ascii="方正仿宋_GBK" w:eastAsia="方正仿宋_GBK"/>
          <w:sz w:val="32"/>
          <w:szCs w:val="36"/>
          <w:lang w:val="en-GB"/>
        </w:rPr>
      </w:pPr>
      <w:r>
        <w:rPr>
          <w:rFonts w:ascii="方正仿宋_GBK" w:eastAsia="方正仿宋_GBK" w:hint="eastAsia"/>
          <w:sz w:val="32"/>
          <w:szCs w:val="36"/>
          <w:lang w:val="en-GB"/>
        </w:rPr>
        <w:t>本要求仅供参考。</w:t>
      </w:r>
      <w:r w:rsidRPr="00BF5811">
        <w:rPr>
          <w:rFonts w:ascii="方正仿宋_GBK" w:eastAsia="方正仿宋_GBK" w:hint="eastAsia"/>
          <w:sz w:val="32"/>
          <w:szCs w:val="36"/>
          <w:lang w:val="en-GB"/>
        </w:rPr>
        <w:t>欧盟相关要求可登陆欧盟官方网站查询，要求变更的，以欧盟要求为准；</w:t>
      </w:r>
    </w:p>
    <w:p w14:paraId="7B4D6266" w14:textId="3D058515" w:rsidR="00355229" w:rsidRDefault="00BF5811" w:rsidP="00BF5811">
      <w:pPr>
        <w:rPr>
          <w:rFonts w:ascii="方正仿宋_GBK" w:eastAsia="方正仿宋_GBK"/>
          <w:sz w:val="32"/>
          <w:szCs w:val="36"/>
          <w:lang w:val="en-GB"/>
        </w:rPr>
      </w:pPr>
      <w:r w:rsidRPr="00BF5811">
        <w:rPr>
          <w:rFonts w:ascii="方正仿宋_GBK" w:eastAsia="方正仿宋_GBK" w:hint="eastAsia"/>
          <w:sz w:val="32"/>
          <w:szCs w:val="36"/>
          <w:lang w:val="en-GB"/>
        </w:rPr>
        <w:t>查询网址：</w:t>
      </w:r>
      <w:hyperlink r:id="rId5" w:history="1">
        <w:r w:rsidR="00F1541F" w:rsidRPr="00C43751">
          <w:rPr>
            <w:rStyle w:val="aa"/>
            <w:rFonts w:ascii="方正仿宋_GBK" w:eastAsia="方正仿宋_GBK" w:hint="eastAsia"/>
            <w:sz w:val="32"/>
            <w:szCs w:val="36"/>
            <w:lang w:val="en-GB"/>
          </w:rPr>
          <w:t>https://food.ec.europa.eu/animals/movement-pets/eu-legislation/non-commercial-movement-non-eu-countries_en</w:t>
        </w:r>
      </w:hyperlink>
    </w:p>
    <w:p w14:paraId="537B61AE" w14:textId="77777777" w:rsidR="00F1541F" w:rsidRPr="00355229" w:rsidRDefault="00F1541F" w:rsidP="00BF5811">
      <w:pPr>
        <w:rPr>
          <w:rFonts w:ascii="方正仿宋_GBK" w:eastAsia="方正仿宋_GBK"/>
          <w:sz w:val="32"/>
          <w:szCs w:val="36"/>
          <w:lang w:val="en-GB"/>
        </w:rPr>
      </w:pPr>
    </w:p>
    <w:p w14:paraId="64CF68F0" w14:textId="77777777" w:rsidR="00355229" w:rsidRDefault="00355229" w:rsidP="00355229">
      <w:pPr>
        <w:pStyle w:val="a6"/>
        <w:numPr>
          <w:ilvl w:val="0"/>
          <w:numId w:val="2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植入ISO 11784或11785标准的芯片，植入其他标准芯片的，需自备扫码器；</w:t>
      </w:r>
    </w:p>
    <w:p w14:paraId="538576F6" w14:textId="7DA58B17" w:rsidR="00BF5811" w:rsidRPr="00355229" w:rsidRDefault="00355229" w:rsidP="00355229">
      <w:pPr>
        <w:pStyle w:val="a6"/>
        <w:numPr>
          <w:ilvl w:val="0"/>
          <w:numId w:val="2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狂犬疫苗免疫</w:t>
      </w:r>
    </w:p>
    <w:p w14:paraId="799C233C" w14:textId="77777777" w:rsidR="00F1541F" w:rsidRDefault="003A51E4" w:rsidP="00355229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动物应至少进行1次狂犬疫苗免疫</w:t>
      </w:r>
    </w:p>
    <w:p w14:paraId="00C72659" w14:textId="7600BAEA" w:rsidR="003A51E4" w:rsidRPr="00355229" w:rsidRDefault="003A51E4" w:rsidP="00355229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免疫时年龄不小于12周龄；</w:t>
      </w:r>
    </w:p>
    <w:p w14:paraId="7A82832A" w14:textId="77777777" w:rsidR="00355229" w:rsidRDefault="003A51E4" w:rsidP="00355229">
      <w:pPr>
        <w:pStyle w:val="a6"/>
        <w:numPr>
          <w:ilvl w:val="0"/>
          <w:numId w:val="3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强化免疫应在首次免疫后至少21天进行，且在前次免疫的有效期内；</w:t>
      </w:r>
    </w:p>
    <w:p w14:paraId="5A12F136" w14:textId="37EF3074" w:rsidR="00ED7A07" w:rsidRPr="00ED7A07" w:rsidRDefault="00ED7A07" w:rsidP="00ED7A07">
      <w:pPr>
        <w:pStyle w:val="a6"/>
        <w:numPr>
          <w:ilvl w:val="0"/>
          <w:numId w:val="3"/>
        </w:numPr>
        <w:rPr>
          <w:rFonts w:ascii="方正仿宋_GBK" w:eastAsia="方正仿宋_GBK" w:hint="eastAsia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在植入芯片前进行的免疫无效</w:t>
      </w:r>
      <w:bookmarkStart w:id="0" w:name="_GoBack"/>
      <w:bookmarkEnd w:id="0"/>
    </w:p>
    <w:p w14:paraId="40C20728" w14:textId="7BEECB14" w:rsidR="00355229" w:rsidRPr="00355229" w:rsidRDefault="00355229" w:rsidP="00355229">
      <w:pPr>
        <w:pStyle w:val="a6"/>
        <w:numPr>
          <w:ilvl w:val="0"/>
          <w:numId w:val="2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</w:t>
      </w:r>
    </w:p>
    <w:p w14:paraId="1A6CD798" w14:textId="71B8DC8A" w:rsidR="00F1541F" w:rsidRDefault="003A51E4" w:rsidP="00355229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血清抗体检测采血应在免疫后至少30</w:t>
      </w:r>
      <w:r w:rsidR="00F1541F">
        <w:rPr>
          <w:rFonts w:ascii="方正仿宋_GBK" w:eastAsia="方正仿宋_GBK" w:hint="eastAsia"/>
          <w:sz w:val="32"/>
          <w:szCs w:val="32"/>
        </w:rPr>
        <w:t>天后进行；</w:t>
      </w:r>
    </w:p>
    <w:p w14:paraId="5BF19FCE" w14:textId="2BB66A6B" w:rsidR="00F1541F" w:rsidRDefault="00F1541F" w:rsidP="00355229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采血应在狂犬疫苗免疫有效期内进行；</w:t>
      </w:r>
    </w:p>
    <w:p w14:paraId="06C75BA2" w14:textId="77777777" w:rsidR="00F1541F" w:rsidRPr="00355229" w:rsidRDefault="00F1541F" w:rsidP="00F1541F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血清抗体检测报告显示的抗体滴度应不小于0.5IU/ML;</w:t>
      </w:r>
    </w:p>
    <w:p w14:paraId="4C008D4A" w14:textId="5C97A1E8" w:rsidR="003A51E4" w:rsidRPr="00355229" w:rsidRDefault="003A51E4" w:rsidP="00355229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血清抗体检测采血满3个月，方可出具证书；</w:t>
      </w:r>
    </w:p>
    <w:p w14:paraId="485E6BBE" w14:textId="7E9DF1B0" w:rsidR="003A51E4" w:rsidRPr="00355229" w:rsidRDefault="003A51E4" w:rsidP="00355229">
      <w:pPr>
        <w:pStyle w:val="a6"/>
        <w:numPr>
          <w:ilvl w:val="0"/>
          <w:numId w:val="4"/>
        </w:numPr>
        <w:rPr>
          <w:rFonts w:ascii="方正仿宋_GBK" w:eastAsia="方正仿宋_GBK"/>
          <w:sz w:val="32"/>
          <w:szCs w:val="32"/>
        </w:rPr>
      </w:pPr>
      <w:r w:rsidRPr="00355229">
        <w:rPr>
          <w:rFonts w:ascii="方正仿宋_GBK" w:eastAsia="方正仿宋_GBK" w:hint="eastAsia"/>
          <w:sz w:val="32"/>
          <w:szCs w:val="32"/>
        </w:rPr>
        <w:t>血清抗体检测后，动物狂犬疫苗在有效期内连续免疫</w:t>
      </w:r>
      <w:r w:rsidRPr="00355229">
        <w:rPr>
          <w:rFonts w:ascii="方正仿宋_GBK" w:eastAsia="方正仿宋_GBK" w:hint="eastAsia"/>
          <w:sz w:val="32"/>
          <w:szCs w:val="32"/>
        </w:rPr>
        <w:lastRenderedPageBreak/>
        <w:t>的，检测报告持续有效；</w:t>
      </w:r>
    </w:p>
    <w:sectPr w:rsidR="003A51E4" w:rsidRPr="003552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15FD0"/>
    <w:multiLevelType w:val="hybridMultilevel"/>
    <w:tmpl w:val="EEEA2DE8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68611718"/>
    <w:multiLevelType w:val="hybridMultilevel"/>
    <w:tmpl w:val="5930D892"/>
    <w:lvl w:ilvl="0" w:tplc="0EE82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A5A4EFF"/>
    <w:multiLevelType w:val="hybridMultilevel"/>
    <w:tmpl w:val="48E6F186"/>
    <w:lvl w:ilvl="0" w:tplc="04090011">
      <w:start w:val="1"/>
      <w:numFmt w:val="decimal"/>
      <w:lvlText w:val="%1)"/>
      <w:lvlJc w:val="left"/>
      <w:pPr>
        <w:ind w:left="785" w:hanging="360"/>
      </w:pPr>
    </w:lvl>
    <w:lvl w:ilvl="1" w:tplc="FFFFFFFF">
      <w:start w:val="1"/>
      <w:numFmt w:val="lowerLetter"/>
      <w:lvlText w:val="%2)"/>
      <w:lvlJc w:val="left"/>
      <w:pPr>
        <w:ind w:left="1305" w:hanging="440"/>
      </w:pPr>
    </w:lvl>
    <w:lvl w:ilvl="2" w:tplc="FFFFFFFF">
      <w:start w:val="1"/>
      <w:numFmt w:val="lowerRoman"/>
      <w:lvlText w:val="%3."/>
      <w:lvlJc w:val="right"/>
      <w:pPr>
        <w:ind w:left="1745" w:hanging="440"/>
      </w:pPr>
    </w:lvl>
    <w:lvl w:ilvl="3" w:tplc="FFFFFFFF">
      <w:start w:val="1"/>
      <w:numFmt w:val="decimal"/>
      <w:lvlText w:val="%4."/>
      <w:lvlJc w:val="left"/>
      <w:pPr>
        <w:ind w:left="2185" w:hanging="440"/>
      </w:pPr>
    </w:lvl>
    <w:lvl w:ilvl="4" w:tplc="FFFFFFFF">
      <w:start w:val="1"/>
      <w:numFmt w:val="lowerLetter"/>
      <w:lvlText w:val="%5)"/>
      <w:lvlJc w:val="left"/>
      <w:pPr>
        <w:ind w:left="2625" w:hanging="440"/>
      </w:pPr>
    </w:lvl>
    <w:lvl w:ilvl="5" w:tplc="FFFFFFFF">
      <w:start w:val="1"/>
      <w:numFmt w:val="lowerRoman"/>
      <w:lvlText w:val="%6."/>
      <w:lvlJc w:val="right"/>
      <w:pPr>
        <w:ind w:left="3065" w:hanging="440"/>
      </w:pPr>
    </w:lvl>
    <w:lvl w:ilvl="6" w:tplc="FFFFFFFF">
      <w:start w:val="1"/>
      <w:numFmt w:val="decimal"/>
      <w:lvlText w:val="%7."/>
      <w:lvlJc w:val="left"/>
      <w:pPr>
        <w:ind w:left="3505" w:hanging="440"/>
      </w:pPr>
    </w:lvl>
    <w:lvl w:ilvl="7" w:tplc="FFFFFFFF">
      <w:start w:val="1"/>
      <w:numFmt w:val="lowerLetter"/>
      <w:lvlText w:val="%8)"/>
      <w:lvlJc w:val="left"/>
      <w:pPr>
        <w:ind w:left="3945" w:hanging="440"/>
      </w:pPr>
    </w:lvl>
    <w:lvl w:ilvl="8" w:tplc="FFFFFFFF">
      <w:start w:val="1"/>
      <w:numFmt w:val="lowerRoman"/>
      <w:lvlText w:val="%9."/>
      <w:lvlJc w:val="right"/>
      <w:pPr>
        <w:ind w:left="4385" w:hanging="440"/>
      </w:pPr>
    </w:lvl>
  </w:abstractNum>
  <w:abstractNum w:abstractNumId="3">
    <w:nsid w:val="71227B49"/>
    <w:multiLevelType w:val="hybridMultilevel"/>
    <w:tmpl w:val="EEEA2DE8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">
    <w:nsid w:val="77FE1C59"/>
    <w:multiLevelType w:val="hybridMultilevel"/>
    <w:tmpl w:val="9050F0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1E4"/>
    <w:rsid w:val="00355229"/>
    <w:rsid w:val="003A51E4"/>
    <w:rsid w:val="003B59E1"/>
    <w:rsid w:val="00742897"/>
    <w:rsid w:val="00777EF3"/>
    <w:rsid w:val="009317A6"/>
    <w:rsid w:val="00BF5811"/>
    <w:rsid w:val="00ED7A07"/>
    <w:rsid w:val="00F1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0AF2"/>
  <w15:chartTrackingRefBased/>
  <w15:docId w15:val="{26623B16-9D8B-4BCF-9CDB-AF78016D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A51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51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51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51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51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51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51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51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A51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3A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3A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3A51E4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3A51E4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3A51E4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3A51E4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3A51E4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3A51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3A51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3A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51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3A51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51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3A51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51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51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3A51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51E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552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28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od.ec.europa.eu/animals/movement-pets/eu-legislation/non-commercial-movement-non-eu-countries_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晓洁 王</dc:creator>
  <cp:keywords/>
  <dc:description/>
  <cp:lastModifiedBy>FeverVet</cp:lastModifiedBy>
  <cp:revision>5</cp:revision>
  <dcterms:created xsi:type="dcterms:W3CDTF">2025-02-09T15:15:00Z</dcterms:created>
  <dcterms:modified xsi:type="dcterms:W3CDTF">2025-02-10T09:11:00Z</dcterms:modified>
</cp:coreProperties>
</file>