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E730B7" wp14:paraId="207B782C" wp14:textId="64B62761">
      <w:pPr>
        <w:pStyle w:val="Heading3"/>
        <w:spacing w:before="281" w:beforeAutospacing="off" w:after="281" w:afterAutospacing="off"/>
      </w:pPr>
      <w:r w:rsidRPr="34E730B7" w:rsidR="76A1C3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Green Book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Cholera -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FRCPath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 Part 2 – Revision Notes</w:t>
      </w:r>
    </w:p>
    <w:p xmlns:wp14="http://schemas.microsoft.com/office/word/2010/wordml" w:rsidP="34E730B7" wp14:paraId="6D4EB510" wp14:textId="76B0B682">
      <w:pPr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Topic : Cholera &amp; Cholera Vaccines (</w:t>
      </w:r>
      <w:r w:rsidRPr="34E730B7" w:rsidR="0CF3C3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Green Book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Ch 14, Aug 2024)</w:t>
      </w:r>
    </w:p>
    <w:p xmlns:wp14="http://schemas.microsoft.com/office/word/2010/wordml" wp14:paraId="31CB3DD7" wp14:textId="52A8E82C"/>
    <w:p xmlns:wp14="http://schemas.microsoft.com/office/word/2010/wordml" w:rsidP="34E730B7" wp14:paraId="1B77002E" wp14:textId="4809DFD5">
      <w:pPr>
        <w:pStyle w:val="Heading4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 | Organism &amp; Pathogenesis</w:t>
      </w:r>
    </w:p>
    <w:p xmlns:wp14="http://schemas.microsoft.com/office/word/2010/wordml" w:rsidP="34E730B7" wp14:paraId="69FECC47" wp14:textId="3AF580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Vibrio cholerae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serogroups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O1 (El Tor &amp; classical) and O139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cause epidemic disease; other serogroups rarely produce toxin .</w:t>
      </w:r>
    </w:p>
    <w:p xmlns:wp14="http://schemas.microsoft.com/office/word/2010/wordml" w:rsidP="34E730B7" wp14:paraId="0CF34109" wp14:textId="44288F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Cholera toxin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↑cAMP → </w:t>
      </w:r>
      <w:r w:rsidRPr="34E730B7" w:rsidR="2330DA3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chloride secretion into intestine → 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massive isotonic fluid loss (“rice‑water” stools). </w:t>
      </w:r>
    </w:p>
    <w:p xmlns:wp14="http://schemas.microsoft.com/office/word/2010/wordml" w:rsidP="34E730B7" wp14:paraId="6B9ED13C" wp14:textId="1A762E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Incubation a few hours–5 days (median ≈ 2–3 d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) .</w:t>
      </w:r>
    </w:p>
    <w:p xmlns:wp14="http://schemas.microsoft.com/office/word/2010/wordml" wp14:paraId="1A04536A" wp14:textId="76E1609D"/>
    <w:p xmlns:wp14="http://schemas.microsoft.com/office/word/2010/wordml" w:rsidP="34E730B7" wp14:paraId="5EFA5D4C" wp14:textId="6D2AFE70">
      <w:pPr>
        <w:pStyle w:val="Heading4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 | Clinical Spectrum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2"/>
        <w:gridCol w:w="5123"/>
        <w:gridCol w:w="2930"/>
      </w:tblGrid>
      <w:tr w:rsidR="34E730B7" w:rsidTr="34E730B7" w14:paraId="5566D2A5">
        <w:trPr>
          <w:trHeight w:val="300"/>
        </w:trPr>
        <w:tc>
          <w:tcPr>
            <w:tcW w:w="2402" w:type="dxa"/>
            <w:tcMar/>
            <w:vAlign w:val="center"/>
          </w:tcPr>
          <w:p w:rsidR="34E730B7" w:rsidP="34E730B7" w:rsidRDefault="34E730B7" w14:paraId="310B75F6" w14:textId="314D6AEC">
            <w:pPr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Severity</w:t>
            </w:r>
          </w:p>
        </w:tc>
        <w:tc>
          <w:tcPr>
            <w:tcW w:w="5123" w:type="dxa"/>
            <w:tcMar/>
            <w:vAlign w:val="center"/>
          </w:tcPr>
          <w:p w:rsidR="34E730B7" w:rsidP="34E730B7" w:rsidRDefault="34E730B7" w14:paraId="71270522" w14:textId="79E37D0A">
            <w:pPr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Typical presentation</w:t>
            </w:r>
          </w:p>
        </w:tc>
        <w:tc>
          <w:tcPr>
            <w:tcW w:w="2930" w:type="dxa"/>
            <w:tcMar/>
            <w:vAlign w:val="center"/>
          </w:tcPr>
          <w:p w:rsidR="34E730B7" w:rsidP="34E730B7" w:rsidRDefault="34E730B7" w14:paraId="2F1D7372" w14:textId="6AF99B42">
            <w:pPr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Key risks</w:t>
            </w:r>
          </w:p>
        </w:tc>
      </w:tr>
      <w:tr w:rsidR="34E730B7" w:rsidTr="34E730B7" w14:paraId="27B57D40">
        <w:trPr>
          <w:trHeight w:val="300"/>
        </w:trPr>
        <w:tc>
          <w:tcPr>
            <w:tcW w:w="2402" w:type="dxa"/>
            <w:tcMar/>
            <w:vAlign w:val="center"/>
          </w:tcPr>
          <w:p w:rsidR="34E730B7" w:rsidP="34E730B7" w:rsidRDefault="34E730B7" w14:paraId="7074A9A9" w14:textId="2743C66C">
            <w:pPr>
              <w:spacing w:before="0" w:beforeAutospacing="off" w:after="0" w:afterAutospacing="off"/>
            </w:pPr>
            <w:r w:rsidR="34E730B7">
              <w:rPr/>
              <w:t>Mild / inapparent (≈ 80–90 %)</w:t>
            </w:r>
          </w:p>
        </w:tc>
        <w:tc>
          <w:tcPr>
            <w:tcW w:w="5123" w:type="dxa"/>
            <w:tcMar/>
            <w:vAlign w:val="center"/>
          </w:tcPr>
          <w:p w:rsidR="34E730B7" w:rsidP="34E730B7" w:rsidRDefault="34E730B7" w14:paraId="72418C27" w14:textId="7BA96D2A">
            <w:pPr>
              <w:spacing w:before="0" w:beforeAutospacing="off" w:after="0" w:afterAutospacing="off"/>
            </w:pPr>
            <w:r w:rsidR="34E730B7">
              <w:rPr/>
              <w:t>Self‑limited diarrhoea or asymptomatic carriage</w:t>
            </w:r>
          </w:p>
        </w:tc>
        <w:tc>
          <w:tcPr>
            <w:tcW w:w="2930" w:type="dxa"/>
            <w:tcMar/>
            <w:vAlign w:val="center"/>
          </w:tcPr>
          <w:p w:rsidR="34E730B7" w:rsidP="34E730B7" w:rsidRDefault="34E730B7" w14:paraId="0750C76E" w14:textId="2BAC1E9E">
            <w:pPr>
              <w:spacing w:before="0" w:beforeAutospacing="off" w:after="0" w:afterAutospacing="off"/>
            </w:pPr>
            <w:r w:rsidR="34E730B7">
              <w:rPr/>
              <w:t>None</w:t>
            </w:r>
          </w:p>
        </w:tc>
      </w:tr>
      <w:tr w:rsidR="34E730B7" w:rsidTr="34E730B7" w14:paraId="7FF9301A">
        <w:trPr>
          <w:trHeight w:val="300"/>
        </w:trPr>
        <w:tc>
          <w:tcPr>
            <w:tcW w:w="2402" w:type="dxa"/>
            <w:tcMar/>
            <w:vAlign w:val="center"/>
          </w:tcPr>
          <w:p w:rsidR="34E730B7" w:rsidP="34E730B7" w:rsidRDefault="34E730B7" w14:paraId="40EFE688" w14:textId="0B35DB1A">
            <w:pPr>
              <w:spacing w:before="0" w:beforeAutospacing="off" w:after="0" w:afterAutospacing="off"/>
            </w:pPr>
            <w:r w:rsidR="34E730B7">
              <w:rPr/>
              <w:t>Severe (10–20 %)</w:t>
            </w:r>
          </w:p>
        </w:tc>
        <w:tc>
          <w:tcPr>
            <w:tcW w:w="5123" w:type="dxa"/>
            <w:tcMar/>
            <w:vAlign w:val="center"/>
          </w:tcPr>
          <w:p w:rsidR="34E730B7" w:rsidP="34E730B7" w:rsidRDefault="34E730B7" w14:paraId="13EABAB0" w14:textId="7DD85EA1">
            <w:pPr>
              <w:spacing w:before="0" w:beforeAutospacing="off" w:after="0" w:afterAutospacing="off"/>
            </w:pPr>
            <w:r w:rsidR="34E730B7">
              <w:rPr/>
              <w:t>Profuse watery diarrhoea, vomiting, rapid dehydration → shock</w:t>
            </w:r>
          </w:p>
        </w:tc>
        <w:tc>
          <w:tcPr>
            <w:tcW w:w="2930" w:type="dxa"/>
            <w:tcMar/>
            <w:vAlign w:val="center"/>
          </w:tcPr>
          <w:p w:rsidR="34E730B7" w:rsidP="34E730B7" w:rsidRDefault="34E730B7" w14:paraId="7B4324AB" w14:textId="3F581626">
            <w:pPr>
              <w:spacing w:before="0" w:beforeAutospacing="off" w:after="0" w:afterAutospacing="off"/>
            </w:pPr>
            <w:r w:rsidR="34E730B7">
              <w:rPr/>
              <w:t>Death within hours without IV/ORS </w:t>
            </w:r>
          </w:p>
        </w:tc>
      </w:tr>
    </w:tbl>
    <w:p xmlns:wp14="http://schemas.microsoft.com/office/word/2010/wordml" wp14:paraId="01B8CC20" wp14:textId="77DFFE92"/>
    <w:p xmlns:wp14="http://schemas.microsoft.com/office/word/2010/wordml" w:rsidP="34E730B7" wp14:paraId="6CB9F238" wp14:textId="2BF56BA2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 | Epidemiology &amp; Risk</w:t>
      </w:r>
    </w:p>
    <w:p xmlns:wp14="http://schemas.microsoft.com/office/word/2010/wordml" w:rsidP="34E730B7" wp14:paraId="3ECC14D7" wp14:textId="5DD99D7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Seventh pandemic (El Tor)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ongoing since 1961; WHO noted global up‑surge mid‑2021 .</w:t>
      </w:r>
    </w:p>
    <w:p xmlns:wp14="http://schemas.microsoft.com/office/word/2010/wordml" w:rsidP="34E730B7" wp14:paraId="220ABAE0" wp14:textId="0D6A84C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2022 WHO: ≥ 472 700 reported cases / 2 349 deaths; true burden 1.3–4 million cases &amp; 21 000–143 000 deaths .</w:t>
      </w:r>
    </w:p>
    <w:p xmlns:wp14="http://schemas.microsoft.com/office/word/2010/wordml" w:rsidP="34E730B7" wp14:paraId="79FC21DC" wp14:textId="00FA016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UK: last home‑grown case 1893; mean 15 imported cases/yr 2015‑19, 20 in 2022 .</w:t>
      </w:r>
    </w:p>
    <w:p xmlns:wp14="http://schemas.microsoft.com/office/word/2010/wordml" w:rsidP="34E730B7" wp14:paraId="086FB02A" wp14:textId="28698A2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Travellers’ absolute risk</w:t>
      </w:r>
      <w:r w:rsidRPr="34E730B7" w:rsidR="7FACE5A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endemic areas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~2–3 per 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million .</w:t>
      </w:r>
    </w:p>
    <w:p xmlns:wp14="http://schemas.microsoft.com/office/word/2010/wordml" wp14:paraId="762A8144" wp14:textId="4E2EF619"/>
    <w:p xmlns:wp14="http://schemas.microsoft.com/office/word/2010/wordml" w:rsidP="34E730B7" wp14:paraId="180DF116" wp14:textId="755597C2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 | Transmission &amp; Prevention Essentials</w:t>
      </w:r>
    </w:p>
    <w:p xmlns:wp14="http://schemas.microsoft.com/office/word/2010/wordml" w:rsidP="34E730B7" wp14:paraId="09A587AA" wp14:textId="1EDA8E57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Faeco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‑oral via contaminated water/food; raw seafood notable. </w:t>
      </w:r>
    </w:p>
    <w:p xmlns:wp14="http://schemas.microsoft.com/office/word/2010/wordml" w:rsidP="34E730B7" wp14:paraId="53ECC9C0" wp14:textId="0E5E6E9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Risk ↑ with achlorhydria, pregnancy, malnutrition, blood group 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O.</w:t>
      </w:r>
    </w:p>
    <w:p xmlns:wp14="http://schemas.microsoft.com/office/word/2010/wordml" w:rsidP="34E730B7" wp14:paraId="7F37AFB9" wp14:textId="0D0DCBA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WASH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measures (Water, Sanitation, Hygiene) remain cornerstone; vaccine is an 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adjunct .</w:t>
      </w:r>
    </w:p>
    <w:p xmlns:wp14="http://schemas.microsoft.com/office/word/2010/wordml" wp14:paraId="44B62A20" wp14:textId="707EA514"/>
    <w:p xmlns:wp14="http://schemas.microsoft.com/office/word/2010/wordml" w:rsidP="34E730B7" wp14:paraId="29F7C3F4" wp14:textId="03CBB9CE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 | Public‑Health Actions (UK)</w:t>
      </w:r>
    </w:p>
    <w:p xmlns:wp14="http://schemas.microsoft.com/office/word/2010/wordml" w:rsidP="34E730B7" wp14:paraId="06634D67" wp14:textId="595A3C9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Notifiable disease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phone local Health Protection Team immediately on suspicion .</w:t>
      </w:r>
    </w:p>
    <w:p xmlns:wp14="http://schemas.microsoft.com/office/word/2010/wordml" w:rsidP="34E730B7" wp14:paraId="1EB8ED51" wp14:textId="35F0C19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Manage cases with rehydration ± antibiotics; vaccines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used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ring vaccination or outbreak control in UK .</w:t>
      </w:r>
    </w:p>
    <w:p xmlns:wp14="http://schemas.microsoft.com/office/word/2010/wordml" wp14:paraId="53D0208A" wp14:textId="7E818931"/>
    <w:p xmlns:wp14="http://schemas.microsoft.com/office/word/2010/wordml" w:rsidP="34E730B7" wp14:paraId="2BCF5432" wp14:textId="4A8AB780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 | Vaccines Licensed in the UK (Table 14.1 abridged)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4155"/>
        <w:gridCol w:w="4013"/>
      </w:tblGrid>
      <w:tr w:rsidR="34E730B7" w:rsidTr="34E730B7" w14:paraId="6D977E4B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6FF6FE65" w14:textId="4BC64CA8">
            <w:pPr>
              <w:bidi w:val="0"/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Attribute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71725CA2" w14:textId="5AE15B1A">
            <w:pPr>
              <w:bidi w:val="0"/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Dukoral® (WC‑rCTB, killed)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6D76F5A2" w14:textId="6CA3F113">
            <w:pPr>
              <w:bidi w:val="0"/>
              <w:spacing w:before="0" w:beforeAutospacing="off" w:after="0" w:afterAutospacing="off"/>
              <w:jc w:val="center"/>
            </w:pPr>
            <w:r w:rsidRPr="34E730B7" w:rsidR="34E730B7">
              <w:rPr>
                <w:b w:val="1"/>
                <w:bCs w:val="1"/>
              </w:rPr>
              <w:t>Vaxchora® (CVD 103‑HgR, live)</w:t>
            </w:r>
          </w:p>
        </w:tc>
      </w:tr>
      <w:tr w:rsidR="34E730B7" w:rsidTr="34E730B7" w14:paraId="7D331A37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00A6611F" w14:textId="4DDBC461">
            <w:pPr>
              <w:pStyle w:val="Normal"/>
              <w:bidi w:val="0"/>
              <w:jc w:val="left"/>
              <w:rPr>
                <w:b w:val="1"/>
                <w:bCs w:val="1"/>
              </w:rPr>
            </w:pPr>
          </w:p>
        </w:tc>
        <w:tc>
          <w:tcPr>
            <w:tcW w:w="4155" w:type="dxa"/>
            <w:tcMar/>
            <w:vAlign w:val="center"/>
          </w:tcPr>
          <w:p w:rsidR="2BDB2CAD" w:rsidP="34E730B7" w:rsidRDefault="2BDB2CAD" w14:paraId="2D231AD6" w14:textId="66DC386A">
            <w:pPr>
              <w:pStyle w:val="Normal"/>
              <w:bidi w:val="0"/>
              <w:jc w:val="left"/>
              <w:rPr>
                <w:b w:val="1"/>
                <w:bCs w:val="1"/>
              </w:rPr>
            </w:pPr>
            <w:r w:rsidRPr="34E730B7" w:rsidR="2BDB2CAD">
              <w:rPr>
                <w:b w:val="1"/>
                <w:bCs w:val="1"/>
              </w:rPr>
              <w:t>Recombinant cholera B toxin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04E9DB7A" w14:textId="391B29B9">
            <w:pPr>
              <w:pStyle w:val="Normal"/>
              <w:bidi w:val="0"/>
              <w:jc w:val="center"/>
              <w:rPr>
                <w:b w:val="1"/>
                <w:bCs w:val="1"/>
              </w:rPr>
            </w:pPr>
          </w:p>
        </w:tc>
      </w:tr>
      <w:tr w:rsidR="34E730B7" w:rsidTr="34E730B7" w14:paraId="58AE13FF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2A06FFDA" w14:textId="7FA21CF4">
            <w:pPr>
              <w:bidi w:val="0"/>
              <w:spacing w:before="0" w:beforeAutospacing="off" w:after="0" w:afterAutospacing="off"/>
            </w:pPr>
            <w:r w:rsidR="34E730B7">
              <w:rPr/>
              <w:t>Age range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4786795D" w14:textId="73CD2E65">
            <w:pPr>
              <w:bidi w:val="0"/>
              <w:spacing w:before="0" w:beforeAutospacing="off" w:after="0" w:afterAutospacing="off"/>
            </w:pPr>
            <w:r w:rsidR="34E730B7">
              <w:rPr/>
              <w:t>≥ 2 y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1A8739AA" w14:textId="2B98F15A">
            <w:pPr>
              <w:bidi w:val="0"/>
              <w:spacing w:before="0" w:beforeAutospacing="off" w:after="0" w:afterAutospacing="off"/>
            </w:pPr>
            <w:r w:rsidR="34E730B7">
              <w:rPr/>
              <w:t>≥ 2 y</w:t>
            </w:r>
          </w:p>
        </w:tc>
      </w:tr>
      <w:tr w:rsidR="34E730B7" w:rsidTr="34E730B7" w14:paraId="2CD93A34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3751F3C5" w14:textId="430DAB90">
            <w:pPr>
              <w:bidi w:val="0"/>
              <w:spacing w:before="0" w:beforeAutospacing="off" w:after="0" w:afterAutospacing="off"/>
            </w:pPr>
            <w:r w:rsidR="34E730B7">
              <w:rPr/>
              <w:t>Primary course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2D7A7FAF" w14:textId="1A2206FC">
            <w:pPr>
              <w:bidi w:val="0"/>
              <w:spacing w:before="0" w:beforeAutospacing="off" w:after="0" w:afterAutospacing="off"/>
            </w:pPr>
            <w:r w:rsidR="34E730B7">
              <w:rPr/>
              <w:t>≥ 6 y: 2 doses ≥ 1 </w:t>
            </w:r>
            <w:r w:rsidR="34E730B7">
              <w:rPr/>
              <w:t>wk</w:t>
            </w:r>
            <w:r w:rsidR="34E730B7">
              <w:rPr/>
              <w:t xml:space="preserve"> apart; </w:t>
            </w:r>
          </w:p>
          <w:p w:rsidR="34E730B7" w:rsidP="34E730B7" w:rsidRDefault="34E730B7" w14:paraId="24DF6FB3" w14:textId="4A9E4DFC">
            <w:pPr>
              <w:bidi w:val="0"/>
              <w:spacing w:before="0" w:beforeAutospacing="off" w:after="0" w:afterAutospacing="off"/>
            </w:pPr>
            <w:r w:rsidR="34E730B7">
              <w:rPr/>
              <w:t>2‑&lt;6 y: 3 doses ≥ 1 </w:t>
            </w:r>
            <w:r w:rsidR="34E730B7">
              <w:rPr/>
              <w:t>wk</w:t>
            </w:r>
            <w:r w:rsidR="34E730B7">
              <w:rPr/>
              <w:t xml:space="preserve"> apart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6668C860" w14:textId="1406F62C">
            <w:pPr>
              <w:bidi w:val="0"/>
              <w:spacing w:before="0" w:beforeAutospacing="off" w:after="0" w:afterAutospacing="off"/>
            </w:pPr>
            <w:r w:rsidR="34E730B7">
              <w:rPr/>
              <w:t>Single dose</w:t>
            </w:r>
          </w:p>
        </w:tc>
      </w:tr>
      <w:tr w:rsidR="34E730B7" w:rsidTr="34E730B7" w14:paraId="03EF2FF0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5CC78E90" w14:textId="4B34F1C6">
            <w:pPr>
              <w:bidi w:val="0"/>
              <w:spacing w:before="0" w:beforeAutospacing="off" w:after="0" w:afterAutospacing="off"/>
            </w:pPr>
            <w:r w:rsidR="34E730B7">
              <w:rPr/>
              <w:t xml:space="preserve">Complete </w:t>
            </w:r>
            <w:r w:rsidRPr="34E730B7" w:rsidR="34E730B7">
              <w:rPr>
                <w:b w:val="1"/>
                <w:bCs w:val="1"/>
              </w:rPr>
              <w:t>≥ before travel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04757AB1" w14:textId="2EEC7252">
            <w:pPr>
              <w:bidi w:val="0"/>
              <w:spacing w:before="0" w:beforeAutospacing="off" w:after="0" w:afterAutospacing="off"/>
            </w:pPr>
            <w:r w:rsidR="34E730B7">
              <w:rPr/>
              <w:t>1 wk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2AFD0D5C" w14:textId="16D6A932">
            <w:pPr>
              <w:bidi w:val="0"/>
              <w:spacing w:before="0" w:beforeAutospacing="off" w:after="0" w:afterAutospacing="off"/>
            </w:pPr>
            <w:r w:rsidR="34E730B7">
              <w:rPr/>
              <w:t>10 d</w:t>
            </w:r>
          </w:p>
        </w:tc>
      </w:tr>
      <w:tr w:rsidR="34E730B7" w:rsidTr="34E730B7" w14:paraId="1CFDA768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32D07EED" w14:textId="3A018BD0">
            <w:pPr>
              <w:bidi w:val="0"/>
              <w:spacing w:before="0" w:beforeAutospacing="off" w:after="0" w:afterAutospacing="off"/>
            </w:pPr>
            <w:r w:rsidR="34E730B7">
              <w:rPr/>
              <w:t>Booster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57A19084" w14:textId="2CA356BA">
            <w:pPr>
              <w:bidi w:val="0"/>
              <w:spacing w:before="0" w:beforeAutospacing="off" w:after="0" w:afterAutospacing="off"/>
            </w:pPr>
            <w:r w:rsidR="34E730B7">
              <w:rPr/>
              <w:t>1 dose ≤ 2 y (≥ 6 y) or ≤ 6 m (2‑&lt;6 y); repeat full course if &gt;2 y / 6 m elapsed 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7FBB2786" w14:textId="0EA353D7">
            <w:pPr>
              <w:bidi w:val="0"/>
              <w:spacing w:before="0" w:beforeAutospacing="off" w:after="0" w:afterAutospacing="off"/>
            </w:pPr>
            <w:r w:rsidR="34E730B7">
              <w:rPr/>
              <w:t>None established </w:t>
            </w:r>
          </w:p>
        </w:tc>
      </w:tr>
      <w:tr w:rsidR="34E730B7" w:rsidTr="34E730B7" w14:paraId="28A7CB70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57D2266D" w14:textId="516D30CA">
            <w:pPr>
              <w:bidi w:val="0"/>
              <w:spacing w:before="0" w:beforeAutospacing="off" w:after="0" w:afterAutospacing="off"/>
            </w:pPr>
            <w:r w:rsidR="34E730B7">
              <w:rPr/>
              <w:t>Efficacy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3065AEEA" w14:textId="4D07B419">
            <w:pPr>
              <w:bidi w:val="0"/>
              <w:spacing w:before="0" w:beforeAutospacing="off" w:after="0" w:afterAutospacing="off"/>
            </w:pPr>
            <w:r w:rsidR="34E730B7">
              <w:rPr/>
              <w:t>85 % at 6 m (Bangladesh); wanes to 26 % in 2–5 y by 36 m 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679023FE" w14:textId="320A6964">
            <w:pPr>
              <w:bidi w:val="0"/>
              <w:spacing w:before="0" w:beforeAutospacing="off" w:after="0" w:afterAutospacing="off"/>
            </w:pPr>
            <w:r w:rsidR="34E730B7">
              <w:rPr/>
              <w:t>90 % at 10 d, 80 % at 3 m (challenge study) </w:t>
            </w:r>
          </w:p>
        </w:tc>
      </w:tr>
      <w:tr w:rsidR="34E730B7" w:rsidTr="34E730B7" w14:paraId="4C2BADF1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39120F38" w14:textId="5F67BC96">
            <w:pPr>
              <w:bidi w:val="0"/>
              <w:spacing w:before="0" w:beforeAutospacing="off" w:after="0" w:afterAutospacing="off"/>
            </w:pPr>
            <w:r w:rsidR="34E730B7">
              <w:rPr/>
              <w:t>Shedding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64D8A615" w14:textId="20053896">
            <w:pPr>
              <w:bidi w:val="0"/>
              <w:spacing w:before="0" w:beforeAutospacing="off" w:after="0" w:afterAutospacing="off"/>
            </w:pPr>
            <w:r w:rsidR="34E730B7">
              <w:rPr/>
              <w:t>None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60E79E84" w14:textId="2EA98409">
            <w:pPr>
              <w:bidi w:val="0"/>
              <w:spacing w:before="0" w:beforeAutospacing="off" w:after="0" w:afterAutospacing="off"/>
            </w:pPr>
            <w:r w:rsidR="34E730B7">
              <w:rPr/>
              <w:t>11 % shed → hand‑wash × 14 d </w:t>
            </w:r>
          </w:p>
        </w:tc>
      </w:tr>
      <w:tr w:rsidR="34E730B7" w:rsidTr="34E730B7" w14:paraId="6EB171E4">
        <w:trPr>
          <w:trHeight w:val="300"/>
        </w:trPr>
        <w:tc>
          <w:tcPr>
            <w:tcW w:w="2400" w:type="dxa"/>
            <w:tcMar/>
            <w:vAlign w:val="center"/>
          </w:tcPr>
          <w:p w:rsidR="34E730B7" w:rsidP="34E730B7" w:rsidRDefault="34E730B7" w14:paraId="237B61B6" w14:textId="6146742B">
            <w:pPr>
              <w:bidi w:val="0"/>
              <w:spacing w:before="0" w:beforeAutospacing="off" w:after="0" w:afterAutospacing="off"/>
            </w:pPr>
            <w:r w:rsidR="34E730B7">
              <w:rPr/>
              <w:t>Special notes</w:t>
            </w:r>
          </w:p>
        </w:tc>
        <w:tc>
          <w:tcPr>
            <w:tcW w:w="4155" w:type="dxa"/>
            <w:tcMar/>
            <w:vAlign w:val="center"/>
          </w:tcPr>
          <w:p w:rsidR="34E730B7" w:rsidP="34E730B7" w:rsidRDefault="34E730B7" w14:paraId="4AC20D05" w14:textId="6417E324">
            <w:pPr>
              <w:bidi w:val="0"/>
              <w:spacing w:before="0" w:beforeAutospacing="off" w:after="0" w:afterAutospacing="off"/>
            </w:pPr>
            <w:r w:rsidR="34E730B7">
              <w:rPr/>
              <w:t xml:space="preserve">Some cross‑protection vs ETEC LT but </w:t>
            </w:r>
            <w:r w:rsidRPr="34E730B7" w:rsidR="34E730B7">
              <w:rPr>
                <w:b w:val="1"/>
                <w:bCs w:val="1"/>
              </w:rPr>
              <w:t>not recommended</w:t>
            </w:r>
            <w:r w:rsidR="34E730B7">
              <w:rPr/>
              <w:t xml:space="preserve"> for travellers’ diarrhoea </w:t>
            </w:r>
          </w:p>
          <w:p w:rsidR="39D288C7" w:rsidP="34E730B7" w:rsidRDefault="39D288C7" w14:paraId="14CA7B3C" w14:textId="5B74BB9F">
            <w:pPr>
              <w:bidi w:val="0"/>
              <w:spacing w:before="0" w:beforeAutospacing="off" w:after="0" w:afterAutospacing="off"/>
            </w:pPr>
            <w:r w:rsidR="39D288C7">
              <w:rPr/>
              <w:t>Can consider in breastfeeding due to killed</w:t>
            </w:r>
          </w:p>
        </w:tc>
        <w:tc>
          <w:tcPr>
            <w:tcW w:w="4013" w:type="dxa"/>
            <w:tcMar/>
            <w:vAlign w:val="center"/>
          </w:tcPr>
          <w:p w:rsidR="34E730B7" w:rsidP="34E730B7" w:rsidRDefault="34E730B7" w14:paraId="2426DADD" w14:textId="4C94C8B6">
            <w:pPr>
              <w:bidi w:val="0"/>
              <w:spacing w:before="0" w:beforeAutospacing="off" w:after="0" w:afterAutospacing="off"/>
            </w:pPr>
            <w:r w:rsidR="34E730B7">
              <w:rPr/>
              <w:t xml:space="preserve">Live – avoid in </w:t>
            </w:r>
            <w:r w:rsidR="34E730B7">
              <w:rPr/>
              <w:t>immunosuppressed;</w:t>
            </w:r>
            <w:r w:rsidR="34E730B7">
              <w:rPr/>
              <w:t xml:space="preserve"> </w:t>
            </w:r>
          </w:p>
          <w:p w:rsidR="34E730B7" w:rsidP="34E730B7" w:rsidRDefault="34E730B7" w14:paraId="053047D2" w14:textId="06879935">
            <w:pPr>
              <w:bidi w:val="0"/>
              <w:spacing w:before="0" w:beforeAutospacing="off" w:after="0" w:afterAutospacing="off"/>
            </w:pPr>
            <w:r w:rsidR="34E730B7">
              <w:rPr/>
              <w:t xml:space="preserve">antibiotic </w:t>
            </w:r>
            <w:r w:rsidR="5332423D">
              <w:rPr/>
              <w:t>avoid 14d pre and 10d post</w:t>
            </w:r>
          </w:p>
          <w:p w:rsidR="5332423D" w:rsidP="34E730B7" w:rsidRDefault="5332423D" w14:paraId="372C7AD0" w14:textId="514268CD">
            <w:pPr>
              <w:bidi w:val="0"/>
              <w:spacing w:before="0" w:beforeAutospacing="off" w:after="0" w:afterAutospacing="off"/>
            </w:pPr>
            <w:r w:rsidR="5332423D">
              <w:rPr/>
              <w:t>c</w:t>
            </w:r>
            <w:r w:rsidR="34E730B7">
              <w:rPr/>
              <w:t xml:space="preserve">hloroquine </w:t>
            </w:r>
            <w:r w:rsidR="4D2EC112">
              <w:rPr/>
              <w:t>avoid 10d post</w:t>
            </w:r>
          </w:p>
        </w:tc>
      </w:tr>
    </w:tbl>
    <w:p xmlns:wp14="http://schemas.microsoft.com/office/word/2010/wordml" wp14:paraId="71680BDF" wp14:textId="4AC66D66"/>
    <w:p xmlns:wp14="http://schemas.microsoft.com/office/word/2010/wordml" w:rsidP="34E730B7" wp14:paraId="7F5DBF1A" wp14:textId="7967549B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 | Indications</w:t>
      </w:r>
    </w:p>
    <w:p xmlns:wp14="http://schemas.microsoft.com/office/word/2010/wordml" w:rsidP="34E730B7" wp14:paraId="049E0E9C" wp14:textId="51285FE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Travellers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high risk (aid workers, outbreak areas lacking safe water/healthcare, underlying comorbidity) .</w:t>
      </w:r>
    </w:p>
    <w:p xmlns:wp14="http://schemas.microsoft.com/office/word/2010/wordml" w:rsidP="34E730B7" wp14:paraId="370DADF2" wp14:textId="7215FAC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Occupational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laboratory staff routinely handling </w:t>
      </w:r>
      <w:r w:rsidRPr="34E730B7" w:rsidR="0CF3C30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V. cholerae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.</w:t>
      </w:r>
    </w:p>
    <w:p xmlns:wp14="http://schemas.microsoft.com/office/word/2010/wordml" w:rsidP="34E730B7" wp14:paraId="1C588AC7" wp14:textId="7508FA5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Not required for international certificates since 1973 .</w:t>
      </w:r>
    </w:p>
    <w:p xmlns:wp14="http://schemas.microsoft.com/office/word/2010/wordml" w:rsidP="34E730B7" wp14:paraId="739CFAEB" wp14:textId="4CCA8B83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Vaccines </w:t>
      </w:r>
      <w:r w:rsidRPr="34E730B7" w:rsidR="0CF3C3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not recommended</w:t>
      </w:r>
      <w:r w:rsidRPr="34E730B7" w:rsidR="0CF3C30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in children &lt;2 y – no efficacy data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.</w:t>
      </w:r>
    </w:p>
    <w:p xmlns:wp14="http://schemas.microsoft.com/office/word/2010/wordml" w:rsidP="34E730B7" wp14:paraId="50430420" wp14:textId="5CC9DB51">
      <w:pPr>
        <w:pStyle w:val="Normal"/>
      </w:pPr>
    </w:p>
    <w:p xmlns:wp14="http://schemas.microsoft.com/office/word/2010/wordml" w:rsidP="34E730B7" wp14:paraId="1302ECDD" wp14:textId="1FA9199C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 | Management of Cases &amp; Contacts (Exam Focus)</w:t>
      </w:r>
    </w:p>
    <w:p xmlns:wp14="http://schemas.microsoft.com/office/word/2010/wordml" w:rsidP="34E730B7" wp14:paraId="3637542A" wp14:textId="21784AC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Vaccine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 role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contacts/outbreak control in UK – rely on hygiene &amp; source investigation .</w:t>
      </w:r>
    </w:p>
    <w:p xmlns:wp14="http://schemas.microsoft.com/office/word/2010/wordml" w:rsidP="34E730B7" wp14:paraId="2BCEE10C" wp14:textId="49C801F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Contacts should practise scrupulous hand hygiene.</w:t>
      </w:r>
    </w:p>
    <w:p xmlns:wp14="http://schemas.microsoft.com/office/word/2010/wordml" wp14:paraId="2DBD6FDC" wp14:textId="6557CA02"/>
    <w:p xmlns:wp14="http://schemas.microsoft.com/office/word/2010/wordml" w:rsidP="34E730B7" wp14:paraId="78D7C80F" wp14:textId="42E5CC1A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13 | High‑Yield Viva Pearls</w:t>
      </w:r>
    </w:p>
    <w:p xmlns:wp14="http://schemas.microsoft.com/office/word/2010/wordml" w:rsidP="34E730B7" wp14:paraId="797FF7AC" wp14:textId="0FF55B0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“O‑one only”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both vaccines protect against O1,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not O139 or other </w:t>
      </w:r>
      <w:r w:rsidRPr="34E730B7" w:rsidR="0CF3C3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Vibrio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.</w:t>
      </w:r>
    </w:p>
    <w:p xmlns:wp14="http://schemas.microsoft.com/office/word/2010/wordml" w:rsidP="34E730B7" wp14:paraId="1E79BB10" wp14:textId="5D198D5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Live 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Vaxchora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shedding → counsel on handwashing &amp; immunosuppressed 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contacts.</w:t>
      </w:r>
    </w:p>
    <w:p xmlns:wp14="http://schemas.microsoft.com/office/word/2010/wordml" w:rsidP="34E730B7" wp14:paraId="3B0F2EE2" wp14:textId="540E755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Restart Dukoral if &gt; 6 wks between doses; booster intervals differ by age .</w:t>
      </w:r>
    </w:p>
    <w:p xmlns:wp14="http://schemas.microsoft.com/office/word/2010/wordml" w:rsidP="34E730B7" wp14:paraId="37AB49C6" wp14:textId="03B172C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Oral cholera vaccination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accepted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International Health Regulations certificates .</w:t>
      </w:r>
    </w:p>
    <w:p xmlns:wp14="http://schemas.microsoft.com/office/word/2010/wordml" w:rsidP="34E730B7" wp14:paraId="3EB2B591" wp14:textId="637C441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Cross‑protection vs ETEC LT exists but vaccine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advocated for travellers’ diarrhoea prophylaxis .</w:t>
      </w:r>
    </w:p>
    <w:p xmlns:wp14="http://schemas.microsoft.com/office/word/2010/wordml" wp14:paraId="3193A005" wp14:textId="3356D1C4"/>
    <w:p xmlns:wp14="http://schemas.microsoft.com/office/word/2010/wordml" w:rsidP="34E730B7" wp14:paraId="0A8965E6" wp14:textId="10BE959B">
      <w:pPr>
        <w:pStyle w:val="Heading4"/>
        <w:bidi w:val="0"/>
        <w:spacing w:before="319" w:beforeAutospacing="off" w:after="319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14 | Mnemonic – “CHO‑VAX SAFE”</w:t>
      </w:r>
    </w:p>
    <w:p xmlns:wp14="http://schemas.microsoft.com/office/word/2010/wordml" w:rsidP="34E730B7" wp14:paraId="23E25985" wp14:textId="041869CE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holera toxin B vs live strain</w:t>
      </w:r>
    </w:p>
    <w:p xmlns:wp14="http://schemas.microsoft.com/office/word/2010/wordml" w:rsidP="34E730B7" wp14:paraId="214989D7" wp14:textId="72B1ECFA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and hygiene still critical</w:t>
      </w:r>
    </w:p>
    <w:p xmlns:wp14="http://schemas.microsoft.com/office/word/2010/wordml" w:rsidP="34E730B7" wp14:paraId="08DDFB6F" wp14:textId="3CAD6984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1 only, not O139</w:t>
      </w:r>
    </w:p>
    <w:p xmlns:wp14="http://schemas.microsoft.com/office/word/2010/wordml" w:rsidP="34E730B7" wp14:paraId="4BA3D4D6" wp14:textId="6AEFD8D5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olume halve buffer (2‑&lt;6 y)</w:t>
      </w:r>
    </w:p>
    <w:p xmlns:wp14="http://schemas.microsoft.com/office/word/2010/wordml" w:rsidP="34E730B7" wp14:paraId="0C69016A" wp14:textId="69C74DB0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void antibiotics / chloroquine near Vaxchora</w:t>
      </w:r>
    </w:p>
    <w:p xmlns:wp14="http://schemas.microsoft.com/office/word/2010/wordml" w:rsidP="34E730B7" wp14:paraId="4A0A987E" wp14:textId="70CE1933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X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tra sodium caution</w:t>
      </w:r>
    </w:p>
    <w:p xmlns:wp14="http://schemas.microsoft.com/office/word/2010/wordml" w:rsidP="34E730B7" wp14:paraId="0BEDE1EC" wp14:textId="07380272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chedules: 2‑3‑1 doses, restart &gt;6 wks</w:t>
      </w:r>
    </w:p>
    <w:p xmlns:wp14="http://schemas.microsoft.com/office/word/2010/wordml" w:rsidP="34E730B7" wp14:paraId="2E1AF0B6" wp14:textId="000E8C11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id workers &amp; lab staff – main indications</w:t>
      </w:r>
    </w:p>
    <w:p xmlns:wp14="http://schemas.microsoft.com/office/word/2010/wordml" w:rsidP="34E730B7" wp14:paraId="33E550CF" wp14:textId="30840DD1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ridge 2–8 °C, Dukoral 14 d @ ≤25 °C</w:t>
      </w:r>
    </w:p>
    <w:p xmlns:wp14="http://schemas.microsoft.com/office/word/2010/wordml" w:rsidP="34E730B7" wp14:paraId="5E5787A5" wp14:textId="686AE11F">
      <w:pPr>
        <w:bidi w:val="0"/>
        <w:spacing w:before="240" w:beforeAutospacing="off" w:after="240" w:afterAutospacing="off"/>
      </w:pP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34E730B7" w:rsidR="0CF3C3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</w:t>
      </w:r>
      <w:r w:rsidRPr="34E730B7" w:rsidR="0CF3C300">
        <w:rPr>
          <w:rFonts w:ascii="Aptos" w:hAnsi="Aptos" w:eastAsia="Aptos" w:cs="Aptos"/>
          <w:noProof w:val="0"/>
          <w:sz w:val="24"/>
          <w:szCs w:val="24"/>
          <w:lang w:val="en-GB"/>
        </w:rPr>
        <w:t> licit boosters: ≤ 2 y or ≤ 6 m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8b48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3da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cf0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a4c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cc8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a1c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fd2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de5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0cf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8FB8C"/>
    <w:rsid w:val="0105063B"/>
    <w:rsid w:val="08083D0F"/>
    <w:rsid w:val="0B88FB8C"/>
    <w:rsid w:val="0CF3C300"/>
    <w:rsid w:val="1B6A90CF"/>
    <w:rsid w:val="23181C78"/>
    <w:rsid w:val="2330DA3B"/>
    <w:rsid w:val="2BDB2CAD"/>
    <w:rsid w:val="2CDE3C18"/>
    <w:rsid w:val="34E730B7"/>
    <w:rsid w:val="358DAC35"/>
    <w:rsid w:val="358DAC35"/>
    <w:rsid w:val="35BD7F5B"/>
    <w:rsid w:val="35BD7F5B"/>
    <w:rsid w:val="39D288C7"/>
    <w:rsid w:val="4098AB46"/>
    <w:rsid w:val="43F25DC1"/>
    <w:rsid w:val="44FF0184"/>
    <w:rsid w:val="452612FE"/>
    <w:rsid w:val="452612FE"/>
    <w:rsid w:val="485A98C9"/>
    <w:rsid w:val="4D2EC112"/>
    <w:rsid w:val="503812C4"/>
    <w:rsid w:val="5332423D"/>
    <w:rsid w:val="60E71F21"/>
    <w:rsid w:val="6D1FBCD9"/>
    <w:rsid w:val="6D8A65D9"/>
    <w:rsid w:val="76A1C398"/>
    <w:rsid w:val="7FACE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FB8C"/>
  <w15:chartTrackingRefBased/>
  <w15:docId w15:val="{62960BF9-0CD6-4BA1-B10B-4E919EAB5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4E730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4E730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4E730B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7cbcc0e52644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2025-07-22T11:33:19.0671831Z</dcterms:created>
  <dcterms:modified xsi:type="dcterms:W3CDTF">2025-07-22T12:05:33.4694043Z</dcterms:modified>
</coreProperties>
</file>