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A43F8D" wp14:paraId="6BBA3BF1" wp14:textId="440FE9A2">
      <w:pPr>
        <w:pStyle w:val="Heading1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1DF8FF1" w:rsidR="227A8AAB">
        <w:rPr>
          <w:noProof w:val="0"/>
          <w:lang w:val="en-GB"/>
        </w:rPr>
        <w:t xml:space="preserve">Bartonella </w:t>
      </w:r>
    </w:p>
    <w:p xmlns:wp14="http://schemas.microsoft.com/office/word/2010/wordml" w:rsidP="19A43F8D" wp14:paraId="360CF2BB" wp14:textId="1EA0F537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1) Essentials at a Glance</w:t>
      </w:r>
    </w:p>
    <w:p xmlns:wp14="http://schemas.microsoft.com/office/word/2010/wordml" w:rsidP="19A43F8D" wp14:paraId="673F0133" wp14:textId="650F04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Genus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6947B58C" wp14:textId="1850A30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small, fastidious, aerobic/microaerophilic Gram-negative bacilli; </w:t>
      </w:r>
    </w:p>
    <w:p xmlns:wp14="http://schemas.microsoft.com/office/word/2010/wordml" w:rsidP="19A43F8D" wp14:paraId="6EEB8239" wp14:textId="48D9EF3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facultative intracellular (endothelium ± erythrocytes). </w:t>
      </w:r>
    </w:p>
    <w:p xmlns:wp14="http://schemas.microsoft.com/office/word/2010/wordml" w:rsidP="19A43F8D" wp14:paraId="79C8B610" wp14:textId="5F7D249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Oxidase-, catalase-, urease-, nitrate-</w:t>
      </w:r>
      <w:r w:rsidRPr="19A43F8D" w:rsidR="2A96E03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negative; </w:t>
      </w:r>
    </w:p>
    <w:p xmlns:wp14="http://schemas.microsoft.com/office/word/2010/wordml" w:rsidP="19A43F8D" wp14:paraId="1116302F" wp14:textId="3C9C62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biochemically inert (diagnosis is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serology/PCR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not phenotypic panels). </w:t>
      </w:r>
    </w:p>
    <w:p xmlns:wp14="http://schemas.microsoft.com/office/word/2010/wordml" w:rsidP="19A43F8D" wp14:paraId="20535ECC" wp14:textId="774BB5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Key human pathogens &amp; reservoirs/vectors</w:t>
      </w:r>
    </w:p>
    <w:p xmlns:wp14="http://schemas.microsoft.com/office/word/2010/wordml" w:rsidP="19A43F8D" wp14:paraId="31A022E9" wp14:textId="2489163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B. henselae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19A43F8D" wp14:paraId="0DC1788C" wp14:textId="31DD3A0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cats (reservoir);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cat fleas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vector</w:t>
      </w:r>
    </w:p>
    <w:p xmlns:wp14="http://schemas.microsoft.com/office/word/2010/wordml" w:rsidP="19A43F8D" wp14:paraId="22BE875B" wp14:textId="34FC772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cat-scratch disease (CSD), </w:t>
      </w:r>
      <w:r w:rsidRPr="19A43F8D" w:rsidR="51E5CB89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osteomyelitis, 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neuroretinitis/POGS, hepatosplenic disease; bacillary angiomatosis/peliosis in immunocompromise; IE (less common than </w:t>
      </w:r>
      <w:r w:rsidRPr="19A43F8D" w:rsidR="443DE503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B. quintana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). </w:t>
      </w:r>
    </w:p>
    <w:p xmlns:wp14="http://schemas.microsoft.com/office/word/2010/wordml" w:rsidP="19A43F8D" wp14:paraId="0EB49861" wp14:textId="5691C5E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B. quintana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19A43F8D" wp14:paraId="63EBBD93" wp14:textId="65C066C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human reservoir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body lice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vector </w:t>
      </w:r>
    </w:p>
    <w:p xmlns:wp14="http://schemas.microsoft.com/office/word/2010/wordml" w:rsidP="19A43F8D" wp14:paraId="42B5A6A7" wp14:textId="1411979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trench fever (relapsing fever, shin pain), chronic bacteremia in people experiencing homelessness,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blood-culture–negative IE (BCNIE)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19A43F8D" wp14:paraId="5BD2C1BD" wp14:textId="277BC7C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B. bacilliformis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19A43F8D" wp14:paraId="3ABC51B0" wp14:textId="7ADC6644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sandflies (Lutzomyia)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in Andes </w:t>
      </w:r>
    </w:p>
    <w:p xmlns:wp14="http://schemas.microsoft.com/office/word/2010/wordml" w:rsidP="19A43F8D" wp14:paraId="4C51B3C3" wp14:textId="5CBA2D1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Carrion’s disease: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Oroya fever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(acute hemolytic anemia) then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verruga peruana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(angioproliferative lesions). </w:t>
      </w:r>
    </w:p>
    <w:p xmlns:wp14="http://schemas.microsoft.com/office/word/2010/wordml" w:rsidP="19A43F8D" wp14:paraId="28B17625" wp14:textId="162549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6E8191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Diagnostic Strategy (pragmatic, exam-style)</w:t>
      </w:r>
    </w:p>
    <w:p xmlns:wp14="http://schemas.microsoft.com/office/word/2010/wordml" w:rsidP="19A43F8D" wp14:paraId="584A3DF0" wp14:textId="357FC81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>BCNIE</w:t>
      </w:r>
    </w:p>
    <w:p xmlns:wp14="http://schemas.microsoft.com/office/word/2010/wordml" w:rsidP="19A43F8D" wp14:paraId="74C74B95" wp14:textId="281A823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>relapsing fever with lice exposure</w:t>
      </w:r>
    </w:p>
    <w:p xmlns:wp14="http://schemas.microsoft.com/office/word/2010/wordml" w:rsidP="19A43F8D" wp14:paraId="3C389F0D" wp14:textId="3E8F659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>unilateral tender nodes after cat exposure</w:t>
      </w:r>
    </w:p>
    <w:p xmlns:wp14="http://schemas.microsoft.com/office/word/2010/wordml" w:rsidP="19A43F8D" wp14:paraId="0920F33A" wp14:textId="1A03BD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>HIV with angiomatous lesions</w:t>
      </w:r>
    </w:p>
    <w:p xmlns:wp14="http://schemas.microsoft.com/office/word/2010/wordml" w:rsidP="19A43F8D" wp14:paraId="3C53C1B1" wp14:textId="65A8E92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Peruvian/Andean travel with hemolysis </w:t>
      </w:r>
    </w:p>
    <w:p xmlns:wp14="http://schemas.microsoft.com/office/word/2010/wordml" w:rsidP="19A43F8D" wp14:paraId="188D0915" wp14:textId="61C794F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6E8191F8">
        <w:rPr>
          <w:rFonts w:ascii="Aptos" w:hAnsi="Aptos" w:eastAsia="Aptos" w:cs="Aptos"/>
          <w:noProof w:val="0"/>
          <w:sz w:val="20"/>
          <w:szCs w:val="20"/>
          <w:lang w:val="en-GB"/>
        </w:rPr>
        <w:t>vascular nodules.</w:t>
      </w:r>
    </w:p>
    <w:p xmlns:wp14="http://schemas.microsoft.com/office/word/2010/wordml" w:rsidP="19A43F8D" wp14:paraId="4308AE3C" wp14:textId="0BA7393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0"/>
          <w:szCs w:val="20"/>
          <w:lang w:val="en-GB"/>
        </w:rPr>
      </w:pPr>
    </w:p>
    <w:p xmlns:wp14="http://schemas.microsoft.com/office/word/2010/wordml" w:rsidP="19A43F8D" wp14:paraId="00ED7FE6" wp14:textId="3478A258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2) Laboratory Microbiology (bench &amp; reference)</w:t>
      </w:r>
    </w:p>
    <w:p xmlns:wp14="http://schemas.microsoft.com/office/word/2010/wordml" w:rsidP="19A43F8D" wp14:paraId="17F5D044" wp14:textId="176582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A43F8D" w:rsidR="57035B6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Serology</w:t>
      </w:r>
    </w:p>
    <w:p xmlns:wp14="http://schemas.microsoft.com/office/word/2010/wordml" w:rsidP="19A43F8D" wp14:paraId="540A2CEB" wp14:textId="68786E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0A20E12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PCR </w:t>
      </w:r>
      <w:r w:rsidRPr="19A43F8D" w:rsidR="0A20E12A">
        <w:rPr>
          <w:rFonts w:ascii="Aptos" w:hAnsi="Aptos" w:eastAsia="Aptos" w:cs="Aptos"/>
          <w:noProof w:val="0"/>
          <w:sz w:val="20"/>
          <w:szCs w:val="20"/>
          <w:lang w:val="en-GB"/>
        </w:rPr>
        <w:t>on tissue</w:t>
      </w:r>
      <w:r w:rsidRPr="19A43F8D" w:rsidR="581F09F9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&gt; blood.</w:t>
      </w:r>
    </w:p>
    <w:p xmlns:wp14="http://schemas.microsoft.com/office/word/2010/wordml" w:rsidP="19A43F8D" wp14:paraId="602EB459" wp14:textId="692053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Culture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extremely fastidious; slow growth on enriched blood/chocolate (5% CO₂), often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weeks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isolation from blood is uncommon without enrichment cell culture (e.g., BAPGM/insect-cell media). </w:t>
      </w:r>
    </w:p>
    <w:p xmlns:wp14="http://schemas.microsoft.com/office/word/2010/wordml" w:rsidP="19A43F8D" wp14:paraId="44CD3993" wp14:textId="6A2B0F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Stains</w:t>
      </w:r>
      <w:r w:rsidRPr="19A43F8D" w:rsidR="07DAD20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Histology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Warthin–Starry or Steiner silver stains highlight bacilli in BA/peliosis; lymph nodes may show stellate microabscesses; </w:t>
      </w:r>
    </w:p>
    <w:p xmlns:wp14="http://schemas.microsoft.com/office/word/2010/wordml" w:rsidP="19A43F8D" wp14:paraId="7265F473" wp14:textId="2EE4C8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585370B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Immunohistochemistry m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ore sensitive than silver for </w:t>
      </w:r>
      <w:r w:rsidRPr="19A43F8D" w:rsidR="443DE503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B. henselae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in nodes. </w:t>
      </w:r>
      <w:hyperlink r:id="R24f38743408f4b74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NCBI</w:t>
        </w:r>
      </w:hyperlink>
      <w:hyperlink r:id="R1ae8986938b5454e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PubMed</w:t>
        </w:r>
      </w:hyperlink>
    </w:p>
    <w:p xmlns:wp14="http://schemas.microsoft.com/office/word/2010/wordml" w:rsidP="19A43F8D" wp14:paraId="4178A043" wp14:textId="7F2DEA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Biochemical profile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oxidase-, catalase-, urease-, nitrate-negative; </w:t>
      </w:r>
    </w:p>
    <w:p xmlns:wp14="http://schemas.microsoft.com/office/word/2010/wordml" w:rsidP="19A43F8D" wp14:paraId="5B0E21ED" wp14:textId="66A2B9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Safety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: BSL-2 practices; alert the lab for suspected BCNIE/BA specimens.</w:t>
      </w:r>
    </w:p>
    <w:p xmlns:wp14="http://schemas.microsoft.com/office/word/2010/wordml" w:rsidP="19A43F8D" wp14:paraId="3F7AC494" wp14:textId="0B8B42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7B47A72C">
        <w:rPr>
          <w:rFonts w:ascii="Aptos" w:hAnsi="Aptos" w:eastAsia="Aptos" w:cs="Aptos"/>
          <w:noProof w:val="0"/>
          <w:sz w:val="20"/>
          <w:szCs w:val="20"/>
          <w:lang w:val="en-GB"/>
        </w:rPr>
        <w:t>Blood films</w:t>
      </w:r>
      <w:r w:rsidRPr="19A43F8D" w:rsidR="09466DF9">
        <w:rPr>
          <w:rFonts w:ascii="Aptos" w:hAnsi="Aptos" w:eastAsia="Aptos" w:cs="Aptos"/>
          <w:noProof w:val="0"/>
          <w:sz w:val="20"/>
          <w:szCs w:val="20"/>
          <w:lang w:val="en-GB"/>
        </w:rPr>
        <w:t>: in Oroya fever</w:t>
      </w:r>
    </w:p>
    <w:p xmlns:wp14="http://schemas.microsoft.com/office/word/2010/wordml" w:rsidP="19A43F8D" wp14:paraId="40F8D260" wp14:textId="43F81372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4) Clinical Syndromes (with treatment)</w:t>
      </w:r>
    </w:p>
    <w:p xmlns:wp14="http://schemas.microsoft.com/office/word/2010/wordml" w:rsidP="19A43F8D" wp14:paraId="3F097211" wp14:textId="1EF10E1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A) Cat-Scratch Disease (CSD) — </w:t>
      </w:r>
      <w:r w:rsidRPr="19A43F8D" w:rsidR="443DE503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B. henselae</w:t>
      </w:r>
    </w:p>
    <w:p xmlns:wp14="http://schemas.microsoft.com/office/word/2010/wordml" w:rsidP="19A43F8D" wp14:paraId="680A5743" wp14:textId="6C4303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Typical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760961D8" wp14:textId="2E9F33C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papule at inoculation </w:t>
      </w:r>
    </w:p>
    <w:p xmlns:wp14="http://schemas.microsoft.com/office/word/2010/wordml" w:rsidP="19A43F8D" wp14:paraId="35F34FF9" wp14:textId="5111CE3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unilateral regional lymphadenitis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(axillary/epitrochlear)</w:t>
      </w:r>
    </w:p>
    <w:p xmlns:wp14="http://schemas.microsoft.com/office/word/2010/wordml" w:rsidP="19A43F8D" wp14:paraId="421F0EA6" wp14:textId="4D5FC72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low-grade fever</w:t>
      </w:r>
    </w:p>
    <w:p xmlns:wp14="http://schemas.microsoft.com/office/word/2010/wordml" w:rsidP="19A43F8D" wp14:paraId="7CE77D77" wp14:textId="0094B1A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often self-limited (2–8 w).</w:t>
      </w:r>
    </w:p>
    <w:p xmlns:wp14="http://schemas.microsoft.com/office/word/2010/wordml" w:rsidP="19A43F8D" wp14:paraId="41DE841E" wp14:textId="7AA5D7A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Atypical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58118674" wp14:textId="0D85565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hepatosplenic lesions</w:t>
      </w:r>
    </w:p>
    <w:p xmlns:wp14="http://schemas.microsoft.com/office/word/2010/wordml" w:rsidP="19A43F8D" wp14:paraId="5B2BFA7F" wp14:textId="0861F4C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1B617E0C">
        <w:rPr>
          <w:rFonts w:ascii="Aptos" w:hAnsi="Aptos" w:eastAsia="Aptos" w:cs="Aptos"/>
          <w:noProof w:val="0"/>
          <w:sz w:val="20"/>
          <w:szCs w:val="20"/>
          <w:lang w:val="en-GB"/>
        </w:rPr>
        <w:t>O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steomyelitis</w:t>
      </w:r>
    </w:p>
    <w:p xmlns:wp14="http://schemas.microsoft.com/office/word/2010/wordml" w:rsidP="19A43F8D" wp14:paraId="7057B600" wp14:textId="6B55B95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3C16D4B3">
        <w:rPr>
          <w:rFonts w:ascii="Aptos" w:hAnsi="Aptos" w:eastAsia="Aptos" w:cs="Aptos"/>
          <w:noProof w:val="0"/>
          <w:sz w:val="20"/>
          <w:szCs w:val="20"/>
          <w:lang w:val="en-GB"/>
        </w:rPr>
        <w:t>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euroretinitis/POGS</w:t>
      </w:r>
    </w:p>
    <w:p xmlns:wp14="http://schemas.microsoft.com/office/word/2010/wordml" w:rsidP="19A43F8D" wp14:paraId="715B5FD6" wp14:textId="0ABA2A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encephalopathy. </w:t>
      </w:r>
    </w:p>
    <w:p xmlns:wp14="http://schemas.microsoft.com/office/word/2010/wordml" w:rsidP="19A43F8D" wp14:paraId="2A37416E" wp14:textId="0B05C5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Antibiotics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69D3576C" wp14:textId="2C1719A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not always required;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azithromycin shortens lymph node volume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(5-day course). </w:t>
      </w:r>
    </w:p>
    <w:p xmlns:wp14="http://schemas.microsoft.com/office/word/2010/wordml" w:rsidP="19A43F8D" wp14:paraId="16847E3F" wp14:textId="2B48F27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Dose: 500 mg day 1 then 250 mg daily days 2–5 (adults/children &gt;45.5 kg). </w:t>
      </w:r>
    </w:p>
    <w:p xmlns:wp14="http://schemas.microsoft.com/office/word/2010/wordml" w:rsidP="19A43F8D" wp14:paraId="67B34605" wp14:textId="7853579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Suppuration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consider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needle aspiration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pain relief</w:t>
      </w:r>
    </w:p>
    <w:p xmlns:wp14="http://schemas.microsoft.com/office/word/2010/wordml" w:rsidP="19A43F8D" wp14:paraId="6C147CBF" wp14:textId="132B534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Ocular Bartonella (neuroretinitis, Parinaud’s oculoglandular syndrome)</w:t>
      </w:r>
    </w:p>
    <w:p xmlns:wp14="http://schemas.microsoft.com/office/word/2010/wordml" w:rsidP="19A43F8D" wp14:paraId="3BF78AD6" wp14:textId="2E4744F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Treatment (common practice)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598B5BB7" wp14:textId="0636CD8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bd + rifampicin 300 mg bd for 4–6 wks</w:t>
      </w:r>
    </w:p>
    <w:p xmlns:wp14="http://schemas.microsoft.com/office/word/2010/wordml" w:rsidP="19A43F8D" wp14:paraId="7B23F1E6" wp14:textId="06CF2DE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corticosteroids sometimes adjunctive in severe neuroretinitis (after antibiotics are started). </w:t>
      </w:r>
    </w:p>
    <w:p xmlns:wp14="http://schemas.microsoft.com/office/word/2010/wordml" w:rsidP="19A43F8D" wp14:paraId="111F4802" wp14:textId="49C18EA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Bacillary angiomatosis / peliosis hepatis (usually HIV or profound immunosuppression)</w:t>
      </w:r>
    </w:p>
    <w:p xmlns:wp14="http://schemas.microsoft.com/office/word/2010/wordml" w:rsidP="19A43F8D" wp14:paraId="42E24B8D" wp14:textId="017D568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Clinical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10ABE127" wp14:textId="165CF65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angiomatous skin lesions (may resemble Kaposi)</w:t>
      </w:r>
    </w:p>
    <w:p xmlns:wp14="http://schemas.microsoft.com/office/word/2010/wordml" w:rsidP="19A43F8D" wp14:paraId="1606A482" wp14:textId="746FA97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systemic symptoms</w:t>
      </w:r>
    </w:p>
    <w:p xmlns:wp14="http://schemas.microsoft.com/office/word/2010/wordml" w:rsidP="19A43F8D" wp14:paraId="45D54602" wp14:textId="071FA74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peliosis </w:t>
      </w:r>
    </w:p>
    <w:p xmlns:wp14="http://schemas.microsoft.com/office/word/2010/wordml" w:rsidP="19A43F8D" wp14:paraId="6F12AF78" wp14:textId="612ADF1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hepatic/splenic vascular lesions ± hemorrhage.</w:t>
      </w:r>
    </w:p>
    <w:p xmlns:wp14="http://schemas.microsoft.com/office/word/2010/wordml" w:rsidP="19A43F8D" wp14:paraId="37D30BA7" wp14:textId="57F5C35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Treat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9A43F8D" wp14:paraId="7C66E170" wp14:textId="2DADA2B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q12h OR erythromycin 500 mg q6h</w:t>
      </w:r>
      <w:r w:rsidRPr="19A43F8D" w:rsidR="2A8A580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for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≥3 months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until lesions resolve; add </w:t>
      </w:r>
    </w:p>
    <w:p xmlns:wp14="http://schemas.microsoft.com/office/word/2010/wordml" w:rsidP="19A43F8D" wp14:paraId="2573FCED" wp14:textId="0397C4C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rifampicin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or use CNS-penetrating agents if CNS eye disease.</w:t>
      </w:r>
    </w:p>
    <w:p xmlns:wp14="http://schemas.microsoft.com/office/word/2010/wordml" w:rsidP="19A43F8D" wp14:paraId="6F4AC3D2" wp14:textId="0F0D5E2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Optimise ART. </w:t>
      </w:r>
    </w:p>
    <w:p xmlns:wp14="http://schemas.microsoft.com/office/word/2010/wordml" w:rsidP="19A43F8D" wp14:paraId="4EB3FF1B" wp14:textId="1F97CAF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D) Trench fever / chronic bacteremia — </w:t>
      </w:r>
      <w:r w:rsidRPr="19A43F8D" w:rsidR="443DE503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B. quintana</w:t>
      </w:r>
    </w:p>
    <w:p xmlns:wp14="http://schemas.microsoft.com/office/word/2010/wordml" w:rsidP="19A43F8D" wp14:paraId="7CA04AB1" wp14:textId="73D2CD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Features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39377409" wp14:textId="290DF84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A43F8D" w:rsidR="43FC8010">
        <w:rPr>
          <w:rFonts w:ascii="Aptos" w:hAnsi="Aptos" w:eastAsia="Aptos" w:cs="Aptos"/>
          <w:noProof w:val="0"/>
          <w:sz w:val="20"/>
          <w:szCs w:val="20"/>
          <w:lang w:val="en-GB"/>
        </w:rPr>
        <w:t>association with body lice and homelessness</w:t>
      </w:r>
    </w:p>
    <w:p xmlns:wp14="http://schemas.microsoft.com/office/word/2010/wordml" w:rsidP="19A43F8D" wp14:paraId="09049A37" wp14:textId="1E3F382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relapsing fever</w:t>
      </w:r>
    </w:p>
    <w:p xmlns:wp14="http://schemas.microsoft.com/office/word/2010/wordml" w:rsidP="19A43F8D" wp14:paraId="30B0E08C" wp14:textId="42E8B61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severe bone/shin pain</w:t>
      </w:r>
    </w:p>
    <w:p xmlns:wp14="http://schemas.microsoft.com/office/word/2010/wordml" w:rsidP="19A43F8D" wp14:paraId="1A7AE288" wp14:textId="550781D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may progress to IE.</w:t>
      </w:r>
    </w:p>
    <w:p xmlns:wp14="http://schemas.microsoft.com/office/word/2010/wordml" w:rsidP="19A43F8D" wp14:paraId="051470DB" wp14:textId="7FE05D5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Treat (typical)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13C3E1DC" wp14:textId="54A9A42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bd for ≥4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</w:p>
    <w:p xmlns:wp14="http://schemas.microsoft.com/office/word/2010/wordml" w:rsidP="19A43F8D" wp14:paraId="0139865A" wp14:textId="229332A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in severe disease or IE suspicion add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gentamicin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14 days. </w:t>
      </w:r>
    </w:p>
    <w:p xmlns:wp14="http://schemas.microsoft.com/office/word/2010/wordml" w:rsidP="19A43F8D" wp14:paraId="039E152A" wp14:textId="3112392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E) Infective endocarditis (BCNIE) — </w:t>
      </w:r>
      <w:r w:rsidRPr="19A43F8D" w:rsidR="443DE503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B. quintana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&gt; </w:t>
      </w:r>
      <w:r w:rsidRPr="19A43F8D" w:rsidR="443DE503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B. henselae</w:t>
      </w:r>
    </w:p>
    <w:p xmlns:wp14="http://schemas.microsoft.com/office/word/2010/wordml" w:rsidP="19A43F8D" wp14:paraId="27017333" wp14:textId="4F18DE9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Clues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BCNIE, homelessness/lice or cat exposure;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ANCA-positive pauci-immune GN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can mimic vasculitis — avoid steroids until IE excluded. </w:t>
      </w:r>
      <w:hyperlink r:id="R2a440115c22f4aff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CDC Travelers' Health</w:t>
        </w:r>
      </w:hyperlink>
    </w:p>
    <w:p xmlns:wp14="http://schemas.microsoft.com/office/word/2010/wordml" w:rsidP="19A43F8D" wp14:paraId="171C872D" wp14:textId="26CB4BB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Regimens (evidence-based options)</w:t>
      </w:r>
    </w:p>
    <w:p xmlns:wp14="http://schemas.microsoft.com/office/word/2010/wordml" w:rsidP="19A43F8D" wp14:paraId="5354BCBE" wp14:textId="19B63F5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Option 1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q12h + rifampicin 300 mg q12h for 6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then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continue doxycycline for ≥3 mo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  <w:hyperlink r:id="Re9d515d3b16c4bcd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NCBI</w:t>
        </w:r>
      </w:hyperlink>
    </w:p>
    <w:p xmlns:wp14="http://schemas.microsoft.com/office/word/2010/wordml" w:rsidP="19A43F8D" wp14:paraId="696E0E18" wp14:textId="7A79A7B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Option 2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q12h + gentamicin 1 mg/kg q8h for 2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then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continue doxycycline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to complete at least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  <w:hyperlink r:id="R4d39f6e9ef464a80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NCBI</w:t>
        </w:r>
      </w:hyperlink>
    </w:p>
    <w:p xmlns:wp14="http://schemas.microsoft.com/office/word/2010/wordml" w:rsidP="19A43F8D" wp14:paraId="42351ADF" wp14:textId="781458A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ESC 2023 emphasises systematic Bartonella serology in BCNIE work-ups; 2023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Duke-ISCVID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recognises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Bartonella IgG ≥1:800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(or Bartonella PCR) as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Major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Surgical management per standard IE indications. </w:t>
      </w:r>
      <w:hyperlink r:id="Rf43615afec494c2e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sochicar.cl</w:t>
        </w:r>
      </w:hyperlink>
      <w:hyperlink r:id="Ra4d516a4b941477d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iscvid.org</w:t>
        </w:r>
      </w:hyperlink>
    </w:p>
    <w:p xmlns:wp14="http://schemas.microsoft.com/office/word/2010/wordml" w:rsidP="19A43F8D" wp14:paraId="1DF0ECAD" wp14:textId="21C1D11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F) Carrion’s disease — </w:t>
      </w:r>
      <w:r w:rsidRPr="19A43F8D" w:rsidR="443DE503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B. bacilliformis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(travel history to Andes)</w:t>
      </w:r>
    </w:p>
    <w:p xmlns:wp14="http://schemas.microsoft.com/office/word/2010/wordml" w:rsidP="19A43F8D" wp14:paraId="44FB8B7E" wp14:textId="2436219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Oroya fever (acute hemolytic phase)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592F4DD5" wp14:textId="25FEFEE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3F105BB">
        <w:rPr>
          <w:rFonts w:ascii="Aptos" w:hAnsi="Aptos" w:eastAsia="Aptos" w:cs="Aptos"/>
          <w:noProof w:val="0"/>
          <w:sz w:val="20"/>
          <w:szCs w:val="20"/>
          <w:lang w:val="en-GB"/>
        </w:rPr>
        <w:t>H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ospitalise</w:t>
      </w:r>
    </w:p>
    <w:p xmlns:wp14="http://schemas.microsoft.com/office/word/2010/wordml" w:rsidP="19A43F8D" wp14:paraId="4B4F71D0" wp14:textId="2246FFC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ciprofloxacin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ceftriaxone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commonly used; </w:t>
      </w:r>
    </w:p>
    <w:p xmlns:wp14="http://schemas.microsoft.com/office/word/2010/wordml" w:rsidP="19A43F8D" wp14:paraId="4FE4157A" wp14:textId="1AB5384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2E99CAA4">
        <w:rPr>
          <w:rFonts w:ascii="Aptos" w:hAnsi="Aptos" w:eastAsia="Aptos" w:cs="Aptos"/>
          <w:noProof w:val="0"/>
          <w:sz w:val="20"/>
          <w:szCs w:val="20"/>
          <w:lang w:val="en-GB"/>
        </w:rPr>
        <w:t>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upportive transfusion as needed</w:t>
      </w:r>
    </w:p>
    <w:p xmlns:wp14="http://schemas.microsoft.com/office/word/2010/wordml" w:rsidP="19A43F8D" wp14:paraId="60B64157" wp14:textId="597EAB8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Verruga peruana </w:t>
      </w:r>
    </w:p>
    <w:p xmlns:wp14="http://schemas.microsoft.com/office/word/2010/wordml" w:rsidP="19A43F8D" wp14:paraId="661FC89B" wp14:textId="4842B5FA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chronic angioproliferative phase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</w:p>
    <w:p xmlns:wp14="http://schemas.microsoft.com/office/word/2010/wordml" w:rsidP="19A43F8D" wp14:paraId="59261BF9" wp14:textId="0AA6DDEA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azithromycin 7–14 days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or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rifampicin 21–28 days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; fluoroquinolones are alternatives;</w:t>
      </w:r>
    </w:p>
    <w:p xmlns:wp14="http://schemas.microsoft.com/office/word/2010/wordml" w:rsidP="19A43F8D" wp14:paraId="4FF31EE9" wp14:textId="3A14745F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5) Antimicrobial Notes (what to know for viva)</w:t>
      </w:r>
    </w:p>
    <w:p xmlns:wp14="http://schemas.microsoft.com/office/word/2010/wordml" w:rsidP="19A43F8D" wp14:paraId="23227513" wp14:textId="18DE9BD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Intracellular location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tetracyclines/macrolides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preferred;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aminoglycosides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(gentamicin) provide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early bactericidal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activity in IE.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Cephalosporins alone are not reliable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Bartonella disease (exception: ceftriaxone used in Oroya fever as alternative). </w:t>
      </w:r>
    </w:p>
    <w:p xmlns:wp14="http://schemas.microsoft.com/office/word/2010/wordml" w:rsidP="19A43F8D" wp14:paraId="451E0AC7" wp14:textId="68203E5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Susceptibility testing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is not standardised; results correlate poorly with outcomes. Use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syndrome-based regimens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duration. </w:t>
      </w:r>
    </w:p>
    <w:p xmlns:wp14="http://schemas.microsoft.com/office/word/2010/wordml" w:rsidP="19A43F8D" wp14:paraId="688FB1D2" wp14:textId="5EC5787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6) Epidemiology &amp; Prevention (high-yield points)</w:t>
      </w:r>
    </w:p>
    <w:p xmlns:wp14="http://schemas.microsoft.com/office/word/2010/wordml" w:rsidP="19A43F8D" wp14:paraId="2D34607C" wp14:textId="20580F96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A43F8D" w:rsidR="6A8113D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Avoid fleas, body lice and sandflies .</w:t>
      </w:r>
    </w:p>
    <w:p xmlns:wp14="http://schemas.microsoft.com/office/word/2010/wordml" w:rsidP="19A43F8D" wp14:paraId="3529C538" wp14:textId="7CE9E343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7) Pitfalls &amp; Exam Pearls</w:t>
      </w:r>
    </w:p>
    <w:p xmlns:wp14="http://schemas.microsoft.com/office/word/2010/wordml" w:rsidP="19A43F8D" wp14:paraId="712B8C68" wp14:textId="0751D68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BCNIE work-up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Always send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Bartonella and Coxiella serology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early; if surgery occurs,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send valve for PCR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(highest diagnostic yield). </w:t>
      </w:r>
    </w:p>
    <w:p xmlns:wp14="http://schemas.microsoft.com/office/word/2010/wordml" w:rsidP="19A43F8D" wp14:paraId="1C7B6AD0" wp14:textId="734ADE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Serology titres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For IE,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IgG ≥1:800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is now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Major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(Duke-ISCVID 2023). Lower titres do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not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exclude Bartonella IE; rely on combined criteria. </w:t>
      </w:r>
    </w:p>
    <w:p xmlns:wp14="http://schemas.microsoft.com/office/word/2010/wordml" w:rsidP="19A43F8D" wp14:paraId="7BF33A76" wp14:textId="27368E9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ANCA positivity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Bartonella IE can be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PR3-ANCA positive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with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pauci-immune GN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can be mislabelled as AAV; treat the infection first. </w:t>
      </w:r>
    </w:p>
    <w:p xmlns:wp14="http://schemas.microsoft.com/office/word/2010/wordml" w:rsidP="19A43F8D" wp14:paraId="1588DDEF" wp14:textId="38F990D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CSD therapy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Azithromycin helps nodes shrink faster but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most cases resolve without antibiotics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use antibiotics for severe/atypical disease or immunocompromise. </w:t>
      </w:r>
    </w:p>
    <w:p xmlns:wp14="http://schemas.microsoft.com/office/word/2010/wordml" w:rsidP="19A43F8D" wp14:paraId="05DDA363" wp14:textId="0DEDAA6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HIV BA/peliosis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treat for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≥3 months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until lesions resolve; relapse if shorter; optimise ART. </w:t>
      </w:r>
    </w:p>
    <w:p xmlns:wp14="http://schemas.microsoft.com/office/word/2010/wordml" w:rsidP="19A43F8D" wp14:paraId="3167FE5A" wp14:textId="7921395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CSD (uncomplicated)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Azithromycin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500 mg day 1, then 250 mg daily × 4 days. </w:t>
      </w:r>
      <w:hyperlink r:id="Rc54d08accdec41ac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CDC</w:t>
        </w:r>
      </w:hyperlink>
    </w:p>
    <w:p xmlns:wp14="http://schemas.microsoft.com/office/word/2010/wordml" w:rsidP="19A43F8D" wp14:paraId="1F4DDAFA" wp14:textId="2CF4739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Ocular (neuroretinitis/POGS)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 100 mg bd + Rifampicin 300 mg bd × 4–6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(± steroids in severe neuroretinitis once antibiotics started). </w:t>
      </w:r>
      <w:hyperlink r:id="R2e9f2ff9a7e3476d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PMC</w:t>
        </w:r>
      </w:hyperlink>
    </w:p>
    <w:p xmlns:wp14="http://schemas.microsoft.com/office/word/2010/wordml" w:rsidP="19A43F8D" wp14:paraId="29E9AAC8" wp14:textId="44D8EC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BA/peliosis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 100 mg q12h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Erythro 500 mg q6h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≥3 mo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consider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Rifampicin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add-on for severe/CNS/ocular. </w:t>
      </w:r>
      <w:hyperlink r:id="R105e4837cd144574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NCBI</w:t>
        </w:r>
      </w:hyperlink>
    </w:p>
    <w:p xmlns:wp14="http://schemas.microsoft.com/office/word/2010/wordml" w:rsidP="19A43F8D" wp14:paraId="794EE394" wp14:textId="141BC7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Trench fever (no IE)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 100 mg bd ≥4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add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Gentamicin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1 mg/kg q8h × 14 days if severe. </w:t>
      </w:r>
      <w:hyperlink r:id="R42a40382b1cc4bfc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Medscape</w:t>
        </w:r>
      </w:hyperlink>
    </w:p>
    <w:p xmlns:wp14="http://schemas.microsoft.com/office/word/2010/wordml" w:rsidP="19A43F8D" wp14:paraId="03762112" wp14:textId="5E8233D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Endocarditis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9A43F8D" wp14:paraId="0AC8C39B" wp14:textId="466A906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 100 mg q12h + Rifampicin 300 mg q12h × 6 wks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then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continue Doxy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≥3 mo;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</w:t>
      </w:r>
    </w:p>
    <w:p xmlns:wp14="http://schemas.microsoft.com/office/word/2010/wordml" w:rsidP="19A43F8D" wp14:paraId="0358A175" wp14:textId="4F565E1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 100 mg q12h + Gentamicin 1 mg/kg q8h × 14 days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then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continue Doxy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to complete ≥6 wks. (Adjust for renal function; prosthetic valves often need surgery.) </w:t>
      </w:r>
      <w:hyperlink r:id="R8edb93c0e4964af1">
        <w:r w:rsidRPr="19A43F8D" w:rsidR="443DE503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NCBI</w:t>
        </w:r>
      </w:hyperlink>
    </w:p>
    <w:p xmlns:wp14="http://schemas.microsoft.com/office/word/2010/wordml" w:rsidP="19A43F8D" wp14:paraId="51071534" wp14:textId="47D1FE2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Carrion’s disease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9A43F8D" wp14:paraId="58B3D7F1" wp14:textId="489C182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Oroya fever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Ciprofloxacin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(e.g., 500 mg bd)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Ceftriaxone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Chloramphenicol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acceptable alternative.</w:t>
      </w:r>
    </w:p>
    <w:p xmlns:wp14="http://schemas.microsoft.com/office/word/2010/wordml" w:rsidP="19A43F8D" wp14:paraId="531213EC" wp14:textId="145B301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Verruga peruana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Azithro 7–14 days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19A43F8D" w:rsidR="443DE5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Rifampicin 21–28 days</w:t>
      </w:r>
      <w:r w:rsidRPr="19A43F8D" w:rsidR="443DE503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(alt: fluoroquinolone).</w:t>
      </w:r>
    </w:p>
    <w:p xmlns:wp14="http://schemas.microsoft.com/office/word/2010/wordml" w:rsidP="19A43F8D" wp14:paraId="5E5787A5" wp14:textId="10FB551F">
      <w:pPr>
        <w:rPr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afd9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f3b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487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0a6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6ff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1d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2db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cfd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a13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76a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e88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664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82b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150A4"/>
    <w:rsid w:val="07DAD20E"/>
    <w:rsid w:val="07DE92AD"/>
    <w:rsid w:val="08BB4DAB"/>
    <w:rsid w:val="09466DF9"/>
    <w:rsid w:val="0A20E12A"/>
    <w:rsid w:val="0B1150A4"/>
    <w:rsid w:val="0FF0FCB5"/>
    <w:rsid w:val="15767FA0"/>
    <w:rsid w:val="17ABCB9D"/>
    <w:rsid w:val="19A43F8D"/>
    <w:rsid w:val="1B617E0C"/>
    <w:rsid w:val="1F93EAE5"/>
    <w:rsid w:val="20DBE724"/>
    <w:rsid w:val="227A8AAB"/>
    <w:rsid w:val="29C32516"/>
    <w:rsid w:val="2A8A5801"/>
    <w:rsid w:val="2A96E03C"/>
    <w:rsid w:val="2E99CAA4"/>
    <w:rsid w:val="2F1304A8"/>
    <w:rsid w:val="31FCCE8C"/>
    <w:rsid w:val="3584FB52"/>
    <w:rsid w:val="3C16D4B3"/>
    <w:rsid w:val="3C1FA35C"/>
    <w:rsid w:val="3E2135E5"/>
    <w:rsid w:val="3EBFF7DF"/>
    <w:rsid w:val="3F48DA78"/>
    <w:rsid w:val="43F105BB"/>
    <w:rsid w:val="43FC8010"/>
    <w:rsid w:val="443DE503"/>
    <w:rsid w:val="451064CB"/>
    <w:rsid w:val="49186D4C"/>
    <w:rsid w:val="51E5CB89"/>
    <w:rsid w:val="539EAAAD"/>
    <w:rsid w:val="57035B67"/>
    <w:rsid w:val="581F09F9"/>
    <w:rsid w:val="585370B0"/>
    <w:rsid w:val="58DABD3C"/>
    <w:rsid w:val="673386B2"/>
    <w:rsid w:val="6A8113DA"/>
    <w:rsid w:val="6E8191F8"/>
    <w:rsid w:val="71054977"/>
    <w:rsid w:val="71DF8FF1"/>
    <w:rsid w:val="7606F00A"/>
    <w:rsid w:val="7B47A72C"/>
    <w:rsid w:val="7ED38A6F"/>
    <w:rsid w:val="7FC9D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50A4"/>
  <w15:chartTrackingRefBased/>
  <w15:docId w15:val="{EC893051-F0BC-430E-B302-ED46191A8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9A43F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9A43F8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9A43F8D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19A43F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cbi.nlm.nih.gov/books/NBK586304/bin/oppguide.pdf" TargetMode="External" Id="R24f38743408f4b74" /><Relationship Type="http://schemas.openxmlformats.org/officeDocument/2006/relationships/hyperlink" Target="https://pubmed.ncbi.nlm.nih.gov/31913159/?utm_source=chatgpt.com" TargetMode="External" Id="R1ae8986938b5454e" /><Relationship Type="http://schemas.openxmlformats.org/officeDocument/2006/relationships/hyperlink" Target="https://wwwnc.cdc.gov/eid/article/31/4/24-1812_article/?utm_source=chatgpt.com" TargetMode="External" Id="R2a440115c22f4aff" /><Relationship Type="http://schemas.openxmlformats.org/officeDocument/2006/relationships/hyperlink" Target="https://www.ncbi.nlm.nih.gov/books/NBK586304/bin/oppguide.pdf" TargetMode="External" Id="Re9d515d3b16c4bcd" /><Relationship Type="http://schemas.openxmlformats.org/officeDocument/2006/relationships/hyperlink" Target="https://www.ncbi.nlm.nih.gov/books/NBK586304/bin/oppguide.pdf" TargetMode="External" Id="R4d39f6e9ef464a80" /><Relationship Type="http://schemas.openxmlformats.org/officeDocument/2006/relationships/hyperlink" Target="https://sochicar.cl/wp-content/uploads/2023/09/ehad193.pdf" TargetMode="External" Id="Rf43615afec494c2e" /><Relationship Type="http://schemas.openxmlformats.org/officeDocument/2006/relationships/hyperlink" Target="https://www.iscvid.org/wp-content/uploads/2023/07/2023-The-2023-Duke-ISCVID-Criteria-for-Infective-Endocarditis-Fowler-CID-May-4-2023-Final.pdf?utm_source=chatgpt.com" TargetMode="External" Id="Ra4d516a4b941477d" /><Relationship Type="http://schemas.openxmlformats.org/officeDocument/2006/relationships/hyperlink" Target="https://www.cdc.gov/bartonella/hcp/bartonella-henselae/index.html?utm_source=chatgpt.com" TargetMode="External" Id="Rc54d08accdec41ac" /><Relationship Type="http://schemas.openxmlformats.org/officeDocument/2006/relationships/hyperlink" Target="https://pmc.ncbi.nlm.nih.gov/articles/PMC6742623/?utm_source=chatgpt.com" TargetMode="External" Id="R2e9f2ff9a7e3476d" /><Relationship Type="http://schemas.openxmlformats.org/officeDocument/2006/relationships/hyperlink" Target="https://www.ncbi.nlm.nih.gov/books/NBK586304/bin/oppguide.pdf" TargetMode="External" Id="R105e4837cd144574" /><Relationship Type="http://schemas.openxmlformats.org/officeDocument/2006/relationships/hyperlink" Target="https://emedicine.medscape.com/article/213169-treatment?utm_source=chatgpt.com" TargetMode="External" Id="R42a40382b1cc4bfc" /><Relationship Type="http://schemas.openxmlformats.org/officeDocument/2006/relationships/hyperlink" Target="https://www.ncbi.nlm.nih.gov/books/NBK586304/bin/oppguide.pdf" TargetMode="External" Id="R8edb93c0e4964af1" /><Relationship Type="http://schemas.openxmlformats.org/officeDocument/2006/relationships/numbering" Target="/word/numbering.xml" Id="Rfee27f47779540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2025-08-11T19:10:30.0958339Z</dcterms:created>
  <dcterms:modified xsi:type="dcterms:W3CDTF">2025-10-07T08:23:36.5900226Z</dcterms:modified>
</coreProperties>
</file>