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12387C" wp14:paraId="4C26B9CE" wp14:textId="1BD50929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</w:pPr>
      <w:r w:rsidRPr="5012387C" w:rsidR="03887E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Brucella</w:t>
      </w:r>
    </w:p>
    <w:p xmlns:wp14="http://schemas.microsoft.com/office/word/2010/wordml" w:rsidP="4587CC2E" wp14:paraId="60F7890E" wp14:textId="31B32A87">
      <w:pPr>
        <w:pStyle w:val="Heading2"/>
        <w:spacing w:before="299" w:beforeAutospacing="off" w:after="299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Definition, Taxonomy &amp; Classification</w:t>
      </w:r>
    </w:p>
    <w:p xmlns:wp14="http://schemas.microsoft.com/office/word/2010/wordml" w:rsidP="4587CC2E" wp14:paraId="328DD534" wp14:textId="74B6B9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Brucellosis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(aka Malta</w:t>
      </w:r>
      <w:r w:rsidRPr="4587CC2E" w:rsidR="4A4D6BBB">
        <w:rPr>
          <w:rFonts w:ascii="Aptos" w:hAnsi="Aptos" w:eastAsia="Aptos" w:cs="Aptos"/>
          <w:noProof w:val="0"/>
          <w:sz w:val="24"/>
          <w:szCs w:val="24"/>
          <w:lang w:val="en-GB"/>
        </w:rPr>
        <w:t>, Crimean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, Mediterranean, Rock, undulant, Bang’s disease).</w:t>
      </w:r>
    </w:p>
    <w:p xmlns:wp14="http://schemas.microsoft.com/office/word/2010/wordml" w:rsidP="4587CC2E" wp14:paraId="56CB270D" wp14:textId="36071F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Caused by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Brucella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spp.: small, </w:t>
      </w: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Gram-negative coccobacilli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facultative intracellular pathogens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(within macrophages/reticuloendothelial system).</w:t>
      </w:r>
    </w:p>
    <w:p xmlns:wp14="http://schemas.microsoft.com/office/word/2010/wordml" w:rsidP="4587CC2E" wp14:paraId="6B8672BC" wp14:textId="1EE9EB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non-motile, non-spore-forming, aerobic.</w:t>
      </w:r>
    </w:p>
    <w:p xmlns:wp14="http://schemas.microsoft.com/office/word/2010/wordml" w:rsidP="4587CC2E" wp14:paraId="101455A3" wp14:textId="7A57BE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abortus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suis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may require 5–10% CO₂.</w:t>
      </w:r>
    </w:p>
    <w:p xmlns:wp14="http://schemas.microsoft.com/office/word/2010/wordml" w:rsidP="4587CC2E" wp14:paraId="58E195DD" wp14:textId="421CB6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Do not ferment sugars.</w:t>
      </w:r>
    </w:p>
    <w:p xmlns:wp14="http://schemas.microsoft.com/office/word/2010/wordml" w:rsidP="4587CC2E" wp14:paraId="5B71C42A" wp14:textId="5A7CBE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Closely related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Bartonella</w:t>
      </w:r>
    </w:p>
    <w:p xmlns:wp14="http://schemas.microsoft.com/office/word/2010/wordml" w:rsidP="4587CC2E" wp14:paraId="5C626447" wp14:textId="7A4CEE91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Human pathogenic species:</w:t>
      </w:r>
    </w:p>
    <w:p xmlns:wp14="http://schemas.microsoft.com/office/word/2010/wordml" w:rsidP="4587CC2E" wp14:paraId="6282D153" wp14:textId="15AC5C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melitensis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goats, sheep, camels – </w:t>
      </w: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most virulent, most common worldwide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, acute presentation.</w:t>
      </w:r>
    </w:p>
    <w:p xmlns:wp14="http://schemas.microsoft.com/office/word/2010/wordml" w:rsidP="4587CC2E" wp14:paraId="7BBD6D93" wp14:textId="2B028B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abortus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cattle.</w:t>
      </w:r>
    </w:p>
    <w:p xmlns:wp14="http://schemas.microsoft.com/office/word/2010/wordml" w:rsidP="4587CC2E" wp14:paraId="758E15F5" wp14:textId="2FF96D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suis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pigs, hares, reindeer.</w:t>
      </w:r>
    </w:p>
    <w:p xmlns:wp14="http://schemas.microsoft.com/office/word/2010/wordml" w:rsidP="4587CC2E" wp14:paraId="311B6F37" wp14:textId="2B852C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canis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dogs (milder human disease).</w:t>
      </w:r>
    </w:p>
    <w:p xmlns:wp14="http://schemas.microsoft.com/office/word/2010/wordml" w:rsidP="4587CC2E" wp14:paraId="5CBE4032" wp14:textId="5A6639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Rare: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ceti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pinnipedialis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(marine mammals),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inopinata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(human isolate, e.g. breast implant).</w:t>
      </w:r>
    </w:p>
    <w:p xmlns:wp14="http://schemas.microsoft.com/office/word/2010/wordml" w:rsidP="4587CC2E" wp14:paraId="66B3D271" wp14:textId="667E7E7D">
      <w:pPr>
        <w:pStyle w:val="Normal"/>
      </w:pPr>
    </w:p>
    <w:p xmlns:wp14="http://schemas.microsoft.com/office/word/2010/wordml" w:rsidP="4587CC2E" wp14:paraId="4C80C32B" wp14:textId="07D6610D">
      <w:pPr>
        <w:pStyle w:val="Heading2"/>
        <w:spacing w:before="299" w:beforeAutospacing="off" w:after="299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Epidemiology</w:t>
      </w:r>
    </w:p>
    <w:p xmlns:wp14="http://schemas.microsoft.com/office/word/2010/wordml" w:rsidP="4587CC2E" wp14:paraId="5A34774B" wp14:textId="40A1256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Worldwide zoonosis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; most common zoonotic infection globally.</w:t>
      </w:r>
    </w:p>
    <w:p xmlns:wp14="http://schemas.microsoft.com/office/word/2010/wordml" w:rsidP="4587CC2E" wp14:paraId="27F49533" wp14:textId="53AE4C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Endemic regions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Mediterranean basin, Middle East, Africa, Latin America, Central and South Asia.</w:t>
      </w:r>
    </w:p>
    <w:p xmlns:wp14="http://schemas.microsoft.com/office/word/2010/wordml" w:rsidP="4587CC2E" wp14:paraId="1039E798" wp14:textId="6AFBEB4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UK: ~10 imported cases per year.</w:t>
      </w:r>
    </w:p>
    <w:p xmlns:wp14="http://schemas.microsoft.com/office/word/2010/wordml" w:rsidP="4587CC2E" wp14:paraId="51EC3C24" wp14:textId="436BBD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Important occupational hazard: abattoir workers, vets, farmers, meat inspectors, lab staff.</w:t>
      </w:r>
    </w:p>
    <w:p xmlns:wp14="http://schemas.microsoft.com/office/word/2010/wordml" w:rsidP="4587CC2E" wp14:paraId="305E1BBF" wp14:textId="3F935D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Human-to-human: rare (sexual, congenital, breast milk, transplant).</w:t>
      </w:r>
    </w:p>
    <w:p xmlns:wp14="http://schemas.microsoft.com/office/word/2010/wordml" w:rsidP="4587CC2E" wp14:paraId="311A1E04" wp14:textId="6B2B3849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Ingestion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unpasteurised dairy (milk, cheese</w:t>
      </w:r>
      <w:r w:rsidRPr="4587CC2E" w:rsidR="356055F7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  <w:r w:rsidRPr="4587CC2E" w:rsidR="6E563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4587CC2E" w:rsidR="2A43CFA7">
        <w:rPr>
          <w:rFonts w:ascii="Aptos" w:hAnsi="Aptos" w:eastAsia="Aptos" w:cs="Aptos"/>
          <w:noProof w:val="0"/>
          <w:sz w:val="24"/>
          <w:szCs w:val="24"/>
          <w:lang w:val="en-GB"/>
        </w:rPr>
        <w:t>&gt;</w:t>
      </w:r>
      <w:r w:rsidRPr="4587CC2E" w:rsidR="6E563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pasteurisation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  <w:r w:rsidRPr="4587CC2E" w:rsidR="1083104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587CC2E" wp14:paraId="3815F125" wp14:textId="5F536CC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Direct contact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animal blood, tissues, aborted products</w:t>
      </w:r>
      <w:r w:rsidRPr="4587CC2E" w:rsidR="214567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4587CC2E" w:rsidR="0E6B181C">
        <w:rPr>
          <w:rFonts w:ascii="Aptos" w:hAnsi="Aptos" w:eastAsia="Aptos" w:cs="Aptos"/>
          <w:noProof w:val="0"/>
          <w:sz w:val="24"/>
          <w:szCs w:val="24"/>
          <w:lang w:val="en-GB"/>
        </w:rPr>
        <w:t>&gt;</w:t>
      </w:r>
      <w:r w:rsidRPr="4587CC2E" w:rsidR="214567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eliminated by animal vaccination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4587CC2E" wp14:paraId="39A4BB48" wp14:textId="5176D33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Inhalation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aerosols on farms, in labs </w:t>
      </w:r>
      <w:r w:rsidRPr="4587CC2E" w:rsidR="0E0E4A13">
        <w:rPr>
          <w:rFonts w:ascii="Aptos" w:hAnsi="Aptos" w:eastAsia="Aptos" w:cs="Aptos"/>
          <w:noProof w:val="0"/>
          <w:sz w:val="24"/>
          <w:szCs w:val="24"/>
          <w:lang w:val="en-GB"/>
        </w:rPr>
        <w:t>&gt; PPE</w:t>
      </w:r>
    </w:p>
    <w:p xmlns:wp14="http://schemas.microsoft.com/office/word/2010/wordml" w:rsidP="4587CC2E" wp14:paraId="70B1E011" wp14:textId="6B10656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Rare human-to-human.</w:t>
      </w:r>
    </w:p>
    <w:p xmlns:wp14="http://schemas.microsoft.com/office/word/2010/wordml" w:rsidP="4587CC2E" wp14:paraId="55700026" wp14:textId="38327BF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17804BE">
        <w:rPr>
          <w:rFonts w:ascii="Aptos" w:hAnsi="Aptos" w:eastAsia="Aptos" w:cs="Aptos"/>
          <w:noProof w:val="0"/>
          <w:sz w:val="24"/>
          <w:szCs w:val="24"/>
          <w:lang w:val="en-GB"/>
        </w:rPr>
        <w:t>Worry re: bioterrorism</w:t>
      </w:r>
    </w:p>
    <w:p xmlns:wp14="http://schemas.microsoft.com/office/word/2010/wordml" wp14:paraId="11ED7C91" wp14:textId="3C64518D"/>
    <w:p xmlns:wp14="http://schemas.microsoft.com/office/word/2010/wordml" w:rsidP="4587CC2E" wp14:paraId="59E80C9F" wp14:textId="052F7EB3">
      <w:pPr>
        <w:pStyle w:val="Heading2"/>
        <w:spacing w:before="299" w:beforeAutospacing="off" w:after="299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Pathogenesis</w:t>
      </w:r>
    </w:p>
    <w:p xmlns:wp14="http://schemas.microsoft.com/office/word/2010/wordml" w:rsidP="4587CC2E" wp14:paraId="6D03279A" wp14:textId="1816338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Enters via mucosa/skin → regional lymph nodes → bloodstream → reticuloendothelial organs.</w:t>
      </w:r>
    </w:p>
    <w:p xmlns:wp14="http://schemas.microsoft.com/office/word/2010/wordml" w:rsidP="4587CC2E" wp14:paraId="439AD617" wp14:textId="4E245B9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Intracellular survival: inhibits apoptosis, suppresses Th1/TNF-α responses.</w:t>
      </w:r>
    </w:p>
    <w:p xmlns:wp14="http://schemas.microsoft.com/office/word/2010/wordml" w:rsidP="4587CC2E" wp14:paraId="18ADBEF8" wp14:textId="52E4A08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Virulence factors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4587CC2E" wp14:paraId="542D146F" wp14:textId="0C50F7C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Smooth LPS (resists complement killing).</w:t>
      </w:r>
    </w:p>
    <w:p xmlns:wp14="http://schemas.microsoft.com/office/word/2010/wordml" w:rsidP="4587CC2E" wp14:paraId="50A87BBF" wp14:textId="3ACC514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VirB type-IV secretion system (T4SS).</w:t>
      </w:r>
    </w:p>
    <w:p xmlns:wp14="http://schemas.microsoft.com/office/word/2010/wordml" w:rsidP="4587CC2E" wp14:paraId="69CC2242" wp14:textId="61F5DBD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BvrR/BvrS two-component system.</w:t>
      </w:r>
    </w:p>
    <w:p xmlns:wp14="http://schemas.microsoft.com/office/word/2010/wordml" w:rsidP="4587CC2E" wp14:paraId="17C09BAA" wp14:textId="5B04B38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Cyclic β-1,2 glucans.</w:t>
      </w:r>
    </w:p>
    <w:p xmlns:wp14="http://schemas.microsoft.com/office/word/2010/wordml" w:rsidP="4587CC2E" wp14:paraId="5C920E06" wp14:textId="7F4CB71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Superoxide dismutase and urease (acid survival).</w:t>
      </w:r>
    </w:p>
    <w:p xmlns:wp14="http://schemas.microsoft.com/office/word/2010/wordml" w:rsidP="4587CC2E" wp14:paraId="04FA6F0E" wp14:textId="5B48D27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Forms granulomas in liver, spleen, marrow.</w:t>
      </w:r>
    </w:p>
    <w:p xmlns:wp14="http://schemas.microsoft.com/office/word/2010/wordml" w:rsidP="4587CC2E" wp14:paraId="5BA97186" wp14:textId="354D6B6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Persistence in granulomas → relapsing or chronic disease.</w:t>
      </w:r>
    </w:p>
    <w:p xmlns:wp14="http://schemas.microsoft.com/office/word/2010/wordml" w:rsidP="4587CC2E" wp14:paraId="4A453F97" wp14:textId="77BC3AFB">
      <w:pPr>
        <w:pStyle w:val="Heading2"/>
        <w:spacing w:before="299" w:beforeAutospacing="off" w:after="299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Laboratory Diagnosis</w:t>
      </w:r>
    </w:p>
    <w:p xmlns:wp14="http://schemas.microsoft.com/office/word/2010/wordml" w:rsidP="4587CC2E" wp14:paraId="721D5E55" wp14:textId="367A559C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Safety</w:t>
      </w:r>
    </w:p>
    <w:p xmlns:wp14="http://schemas.microsoft.com/office/word/2010/wordml" w:rsidP="4587CC2E" wp14:paraId="3BB10F86" wp14:textId="10E878E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Hazard Group 3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. Highly infectious (10–100 organisms enough).</w:t>
      </w:r>
    </w:p>
    <w:p xmlns:wp14="http://schemas.microsoft.com/office/word/2010/wordml" w:rsidP="4587CC2E" wp14:paraId="5566BBBC" wp14:textId="11B0ABA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Commonest lab-acquired infection. Work in BSL-3. Notify lab when suspected.</w:t>
      </w:r>
    </w:p>
    <w:p xmlns:wp14="http://schemas.microsoft.com/office/word/2010/wordml" w:rsidP="4587CC2E" wp14:paraId="672669F3" wp14:textId="47437D24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Specimens</w:t>
      </w:r>
    </w:p>
    <w:p xmlns:wp14="http://schemas.microsoft.com/office/word/2010/wordml" w:rsidP="4587CC2E" wp14:paraId="3D51838F" wp14:textId="4C67AE6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Blood cultures (yield 15–70%).</w:t>
      </w:r>
    </w:p>
    <w:p xmlns:wp14="http://schemas.microsoft.com/office/word/2010/wordml" w:rsidP="4587CC2E" wp14:paraId="785AFCAB" wp14:textId="230321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Bone marrow: </w:t>
      </w: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gold standard</w:t>
      </w:r>
    </w:p>
    <w:p xmlns:wp14="http://schemas.microsoft.com/office/word/2010/wordml" w:rsidP="4587CC2E" wp14:paraId="3CFEAE5D" wp14:textId="678F452D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Other: </w:t>
      </w:r>
      <w:r w:rsidRPr="4587CC2E" w:rsidR="09CA746C">
        <w:rPr>
          <w:rFonts w:ascii="Aptos" w:hAnsi="Aptos" w:eastAsia="Aptos" w:cs="Aptos"/>
          <w:noProof w:val="0"/>
          <w:sz w:val="24"/>
          <w:szCs w:val="24"/>
          <w:lang w:val="en-GB"/>
        </w:rPr>
        <w:t>Tissue, synovial fluid, CSF</w:t>
      </w:r>
    </w:p>
    <w:p xmlns:wp14="http://schemas.microsoft.com/office/word/2010/wordml" w:rsidP="4587CC2E" wp14:paraId="39EC0693" wp14:textId="5F7CD263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Culture</w:t>
      </w:r>
    </w:p>
    <w:p xmlns:wp14="http://schemas.microsoft.com/office/word/2010/wordml" w:rsidP="4587CC2E" wp14:paraId="6E7D4E4E" wp14:textId="42C1377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Slow-growing: 2–3 days up to 8 weeks (usually positive 7–21 days).</w:t>
      </w:r>
    </w:p>
    <w:p xmlns:wp14="http://schemas.microsoft.com/office/word/2010/wordml" w:rsidP="4587CC2E" wp14:paraId="11EF65F9" wp14:textId="5206697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Small convex non-haemolytic colonies.</w:t>
      </w:r>
    </w:p>
    <w:p xmlns:wp14="http://schemas.microsoft.com/office/word/2010/wordml" w:rsidP="4587CC2E" wp14:paraId="4F611C1B" wp14:textId="705F425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Chocolate agar, blood agar, Brucella broth.</w:t>
      </w:r>
    </w:p>
    <w:p xmlns:wp14="http://schemas.microsoft.com/office/word/2010/wordml" w:rsidP="4587CC2E" wp14:paraId="10CC5DEC" wp14:textId="57FF3E5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MALDI-TOF can 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identify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(under BSL-3).</w:t>
      </w:r>
    </w:p>
    <w:p xmlns:wp14="http://schemas.microsoft.com/office/word/2010/wordml" w:rsidP="4587CC2E" wp14:paraId="6A4D5526" wp14:textId="253177F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Microscopy</w:t>
      </w:r>
      <w:r w:rsidRPr="4587CC2E" w:rsidR="2AD9EBA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: </w:t>
      </w:r>
      <w:r w:rsidRPr="4587CC2E" w:rsidR="03887EC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Gram-negative coccobacilli, faint staining.</w:t>
      </w:r>
    </w:p>
    <w:p xmlns:wp14="http://schemas.microsoft.com/office/word/2010/wordml" w:rsidP="4587CC2E" wp14:paraId="44E0A917" wp14:textId="7A948EC0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noProof w:val="0"/>
          <w:lang w:val="en-GB"/>
        </w:rPr>
        <w:t>Biochemical tests</w:t>
      </w:r>
      <w:r w:rsidRPr="4587CC2E" w:rsidR="14BCAE51">
        <w:rPr>
          <w:noProof w:val="0"/>
          <w:lang w:val="en-GB"/>
        </w:rPr>
        <w:t xml:space="preserve">:  </w:t>
      </w:r>
      <w:r w:rsidRPr="4587CC2E" w:rsidR="03887EC2">
        <w:rPr>
          <w:noProof w:val="0"/>
          <w:lang w:val="en-GB"/>
        </w:rPr>
        <w:t>Oxidase +, catalase +, urease + (rapid).</w:t>
      </w:r>
    </w:p>
    <w:p xmlns:wp14="http://schemas.microsoft.com/office/word/2010/wordml" w:rsidP="4587CC2E" wp14:paraId="53EE74C4" wp14:textId="69FB25B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Slide agglutination with specific antisera.</w:t>
      </w:r>
    </w:p>
    <w:p xmlns:wp14="http://schemas.microsoft.com/office/word/2010/wordml" w:rsidP="4587CC2E" wp14:paraId="1B34A762" wp14:textId="21E036A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</w:pPr>
      <w:r w:rsidRPr="4587CC2E" w:rsidR="44A988F4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Molecular :</w:t>
      </w:r>
      <w:r w:rsidRPr="4587CC2E" w:rsidR="44A988F4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 PCR assays increasingly used (esp. for focal disease, FFPE tissue).</w:t>
      </w:r>
    </w:p>
    <w:p xmlns:wp14="http://schemas.microsoft.com/office/word/2010/wordml" w:rsidP="4587CC2E" wp14:paraId="148CB458" wp14:textId="2ECB8146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GB"/>
        </w:rPr>
      </w:pPr>
      <w:r w:rsidRPr="4587CC2E" w:rsidR="03887EC2">
        <w:rPr>
          <w:noProof w:val="0"/>
          <w:lang w:val="en-GB"/>
        </w:rPr>
        <w:t>Serology</w:t>
      </w:r>
    </w:p>
    <w:p xmlns:wp14="http://schemas.microsoft.com/office/word/2010/wordml" w:rsidP="4587CC2E" wp14:paraId="6D4C9456" wp14:textId="1A91A28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SAT (Standard tube agglutination test)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titre ≥1:160 significant.</w:t>
      </w:r>
    </w:p>
    <w:p xmlns:wp14="http://schemas.microsoft.com/office/word/2010/wordml" w:rsidP="4587CC2E" wp14:paraId="5CE91C23" wp14:textId="6426F5C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Rose Bengal test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screening.</w:t>
      </w:r>
    </w:p>
    <w:p xmlns:wp14="http://schemas.microsoft.com/office/word/2010/wordml" w:rsidP="4587CC2E" wp14:paraId="78F2883F" wp14:textId="59F4484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ELISA (IgM vs IgG).</w:t>
      </w:r>
    </w:p>
    <w:p xmlns:wp14="http://schemas.microsoft.com/office/word/2010/wordml" w:rsidP="4587CC2E" wp14:paraId="76B5F1E7" wp14:textId="1D8DC7F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Coombs anti-Brucella: useful in chronic disease.</w:t>
      </w:r>
    </w:p>
    <w:p xmlns:wp14="http://schemas.microsoft.com/office/word/2010/wordml" w:rsidP="4587CC2E" wp14:paraId="24DF1BE3" wp14:textId="6DEA73A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</w:pP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B.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canis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requires separate serology.</w:t>
      </w:r>
    </w:p>
    <w:p xmlns:wp14="http://schemas.microsoft.com/office/word/2010/wordml" w:rsidP="4587CC2E" wp14:paraId="67CC81D0" wp14:textId="19F5D8C8">
      <w:pPr>
        <w:pStyle w:val="Heading2"/>
        <w:spacing w:before="299" w:beforeAutospacing="off" w:after="299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Clinical Features</w:t>
      </w:r>
    </w:p>
    <w:p xmlns:wp14="http://schemas.microsoft.com/office/word/2010/wordml" w:rsidP="4587CC2E" wp14:paraId="76D4430C" wp14:textId="6116E9AD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Incubation</w:t>
      </w:r>
    </w:p>
    <w:p xmlns:wp14="http://schemas.microsoft.com/office/word/2010/wordml" w:rsidP="4587CC2E" wp14:paraId="0E40FAF0" wp14:textId="1BAD1F4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Typically 2–4 weeks (range: 5 days – 6 months).</w:t>
      </w:r>
    </w:p>
    <w:p xmlns:wp14="http://schemas.microsoft.com/office/word/2010/wordml" w:rsidP="4587CC2E" wp14:paraId="3C4E5248" wp14:textId="6E6A8650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General symptoms</w:t>
      </w:r>
    </w:p>
    <w:p xmlns:wp14="http://schemas.microsoft.com/office/word/2010/wordml" w:rsidP="4587CC2E" wp14:paraId="7869D3B0" wp14:textId="323D513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“Great imitator”: non-specific systemic illness.</w:t>
      </w:r>
    </w:p>
    <w:p xmlns:wp14="http://schemas.microsoft.com/office/word/2010/wordml" w:rsidP="4587CC2E" wp14:paraId="5B77272F" wp14:textId="4072E54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Undulant fever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, night sweats (malodorous, “wet hay” smell), malaise, anorexia, arthralgia, myalgia, headache, weight loss.</w:t>
      </w:r>
    </w:p>
    <w:p xmlns:wp14="http://schemas.microsoft.com/office/word/2010/wordml" w:rsidP="4587CC2E" wp14:paraId="4033D3C6" wp14:textId="757829C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Lymphadenopathy, hepatosplenomegaly.</w:t>
      </w:r>
    </w:p>
    <w:p xmlns:wp14="http://schemas.microsoft.com/office/word/2010/wordml" w:rsidP="4587CC2E" wp14:paraId="21D8043B" wp14:textId="78F93A3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Anaemia, leukopenia, thrombocytopenia possible.</w:t>
      </w:r>
    </w:p>
    <w:p xmlns:wp14="http://schemas.microsoft.com/office/word/2010/wordml" w:rsidP="4587CC2E" wp14:paraId="66FF96B1" wp14:textId="7F1E1E0F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Focal disease (~30%)</w:t>
      </w:r>
    </w:p>
    <w:p xmlns:wp14="http://schemas.microsoft.com/office/word/2010/wordml" w:rsidP="4587CC2E" wp14:paraId="7A689101" wp14:textId="179D601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Osteoarticular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(most common, up to 50%): sacroiliitis, spondylitis, peripheral arthritis.</w:t>
      </w:r>
    </w:p>
    <w:p xmlns:wp14="http://schemas.microsoft.com/office/word/2010/wordml" w:rsidP="4587CC2E" wp14:paraId="63402961" wp14:textId="19962DC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Genitourinary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epididymo-orchitis; female pelvic infections, abortion, infertility.</w:t>
      </w:r>
    </w:p>
    <w:p xmlns:wp14="http://schemas.microsoft.com/office/word/2010/wordml" w:rsidP="4587CC2E" wp14:paraId="127508D8" wp14:textId="744C194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Hepatic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hepatitis, granulomas, abscesses.</w:t>
      </w:r>
    </w:p>
    <w:p xmlns:wp14="http://schemas.microsoft.com/office/word/2010/wordml" w:rsidP="4587CC2E" wp14:paraId="59985260" wp14:textId="40C4E1C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Cardiac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endocarditis (&lt;2% but major cause of death), myocarditis, pericarditis, mycotic aneurysms.</w:t>
      </w:r>
    </w:p>
    <w:p xmlns:wp14="http://schemas.microsoft.com/office/word/2010/wordml" w:rsidP="4587CC2E" wp14:paraId="3BAE943D" wp14:textId="02F1FC1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Neurological (10%)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neurobrucellosis – meningitis, meningoencephalitis, myelitis, radiculopathy, cranial nerve palsy.</w:t>
      </w:r>
    </w:p>
    <w:p xmlns:wp14="http://schemas.microsoft.com/office/word/2010/wordml" w:rsidP="4587CC2E" wp14:paraId="63C69E12" wp14:textId="140B12A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Respiratory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(rare): bronchitis, pneumonia, pleural effusion, TB-like miliary pattern.</w:t>
      </w:r>
    </w:p>
    <w:p xmlns:wp14="http://schemas.microsoft.com/office/word/2010/wordml" w:rsidP="4587CC2E" wp14:paraId="2ACB2A71" wp14:textId="4137FAD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Ocular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uveitis, optic neuritis.</w:t>
      </w:r>
    </w:p>
    <w:p xmlns:wp14="http://schemas.microsoft.com/office/word/2010/wordml" w:rsidP="4587CC2E" wp14:paraId="45845592" wp14:textId="2E2295F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Cutaneous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varied, vasculitic, psoriasiform lesions.</w:t>
      </w:r>
    </w:p>
    <w:p xmlns:wp14="http://schemas.microsoft.com/office/word/2010/wordml" w:rsidP="4587CC2E" wp14:paraId="7BC511F2" wp14:textId="21A9DF1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Pregnancy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↑ risk of miscarriage, preterm labour, congenital infection → avoid breastfeeding.</w:t>
      </w:r>
    </w:p>
    <w:p xmlns:wp14="http://schemas.microsoft.com/office/word/2010/wordml" w:rsidP="4587CC2E" wp14:paraId="1FA02635" wp14:textId="307EC16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Children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abdominal pain, arthritis more common. Chronicity rare.</w:t>
      </w:r>
    </w:p>
    <w:p xmlns:wp14="http://schemas.microsoft.com/office/word/2010/wordml" w:rsidP="4587CC2E" wp14:paraId="771E5CB2" wp14:textId="7736E6F3">
      <w:pPr>
        <w:pStyle w:val="Heading2"/>
        <w:spacing w:before="299" w:beforeAutospacing="off" w:after="299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8. Treatment</w:t>
      </w:r>
    </w:p>
    <w:p xmlns:wp14="http://schemas.microsoft.com/office/word/2010/wordml" w:rsidP="4587CC2E" wp14:paraId="54B92F46" wp14:textId="3FBAAACB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Principles</w:t>
      </w:r>
    </w:p>
    <w:p xmlns:wp14="http://schemas.microsoft.com/office/word/2010/wordml" w:rsidP="4587CC2E" wp14:paraId="084663FD" wp14:textId="0D05ECB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Always </w:t>
      </w: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combination therapy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≥6 weeks.</w:t>
      </w:r>
    </w:p>
    <w:p xmlns:wp14="http://schemas.microsoft.com/office/word/2010/wordml" w:rsidP="4587CC2E" wp14:paraId="75CD39BA" wp14:textId="1A8B4F6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Aim: intracellular penetration, relapse prevention.</w:t>
      </w:r>
    </w:p>
    <w:p xmlns:wp14="http://schemas.microsoft.com/office/word/2010/wordml" w:rsidP="4587CC2E" wp14:paraId="1A8BC721" wp14:textId="48D5648C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Uncomplicated brucellosis (WHO first-line)</w:t>
      </w:r>
    </w:p>
    <w:p xmlns:wp14="http://schemas.microsoft.com/office/word/2010/wordml" w:rsidP="4587CC2E" wp14:paraId="58CDEB88" wp14:textId="041AD03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Doxycycline 100 mg PO BD × 6 weeks + Rifampicin 600–900 mg OD × 6 weeks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4587CC2E" wp14:paraId="3A78E7A1" wp14:textId="762EDF6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Alternative: Doxycycline × 6 weeks + Streptomycin</w:t>
      </w:r>
      <w:r w:rsidRPr="4587CC2E" w:rsidR="20DD9D2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(or gentamicin 5mg/kg)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 g IM daily × 2–3 weeks.</w:t>
      </w:r>
    </w:p>
    <w:p xmlns:wp14="http://schemas.microsoft.com/office/word/2010/wordml" w:rsidP="4587CC2E" wp14:paraId="4CC0653E" wp14:textId="10DB5511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Complicated</w:t>
      </w:r>
    </w:p>
    <w:p xmlns:wp14="http://schemas.microsoft.com/office/word/2010/wordml" w:rsidP="4587CC2E" wp14:paraId="5E38B735" wp14:textId="1E6036C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Spondylitis/osteomyelitis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prolonged (3–6 months).</w:t>
      </w:r>
    </w:p>
    <w:p xmlns:wp14="http://schemas.microsoft.com/office/word/2010/wordml" w:rsidP="4587CC2E" wp14:paraId="0F913682" wp14:textId="686A9B5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Neurobrucellosis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Doxycycline + Rifampicin + Ceftriaxone (IV 1 month) for 4–6 months. Continue until CSF normalises.</w:t>
      </w:r>
    </w:p>
    <w:p xmlns:wp14="http://schemas.microsoft.com/office/word/2010/wordml" w:rsidP="4587CC2E" wp14:paraId="142DF45D" wp14:textId="5465418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Endocarditis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Doxycycline + Rifampicin + Aminoglycoside; surgery often needed.</w:t>
      </w:r>
    </w:p>
    <w:p xmlns:wp14="http://schemas.microsoft.com/office/word/2010/wordml" w:rsidP="4587CC2E" wp14:paraId="7C4D0AC3" wp14:textId="0E343C8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Pregnancy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Rifampicin monotherapy (TMP-SMX if appropriate, but avoid near term).</w:t>
      </w:r>
    </w:p>
    <w:p xmlns:wp14="http://schemas.microsoft.com/office/word/2010/wordml" w:rsidP="4587CC2E" wp14:paraId="5F77C9A8" wp14:textId="1E2DC99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Children &lt;8 years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: Rifampicin + TMP-SMX.</w:t>
      </w:r>
    </w:p>
    <w:p xmlns:wp14="http://schemas.microsoft.com/office/word/2010/wordml" w:rsidP="4587CC2E" wp14:paraId="79AE1917" wp14:textId="24457A8C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Special note</w:t>
      </w:r>
    </w:p>
    <w:p xmlns:wp14="http://schemas.microsoft.com/office/word/2010/wordml" w:rsidP="4587CC2E" wp14:paraId="1B4628F2" wp14:textId="2E88F20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Vaccine strain </w:t>
      </w:r>
      <w:r w:rsidRPr="4587CC2E" w:rsidR="03887E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abortus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RB51 is </w:t>
      </w: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rifampicin-resistant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use doxycycline + TMP-SMX.</w:t>
      </w:r>
    </w:p>
    <w:p xmlns:wp14="http://schemas.microsoft.com/office/word/2010/wordml" w:rsidP="4587CC2E" wp14:paraId="5827FF70" wp14:textId="54A8B6BE">
      <w:pPr>
        <w:pStyle w:val="Heading3"/>
        <w:spacing w:before="281" w:beforeAutospacing="off" w:after="281" w:afterAutospacing="off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Relapse</w:t>
      </w:r>
    </w:p>
    <w:p xmlns:wp14="http://schemas.microsoft.com/office/word/2010/wordml" w:rsidP="4587CC2E" wp14:paraId="28257FE8" wp14:textId="4DCBF12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Occurs in 5–15%. Risk: poor compliance, late diagnosis, focal disease. Retreatment with prolonged combos.</w:t>
      </w:r>
    </w:p>
    <w:p xmlns:wp14="http://schemas.microsoft.com/office/word/2010/wordml" w:rsidP="4587CC2E" wp14:paraId="65F0BCF7" wp14:textId="21DD9BB0">
      <w:pPr>
        <w:pStyle w:val="Heading1"/>
        <w:keepNext w:val="0"/>
        <w:keepLines w:val="0"/>
        <w:spacing w:before="322" w:beforeAutospacing="off" w:after="322" w:afterAutospacing="off" w:line="240" w:lineRule="auto"/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Key Exam Pearls</w:t>
      </w:r>
    </w:p>
    <w:p xmlns:wp14="http://schemas.microsoft.com/office/word/2010/wordml" w:rsidP="4587CC2E" wp14:paraId="1A269AE7" wp14:textId="3A023771">
      <w:pPr>
        <w:pStyle w:val="ListParagraph"/>
        <w:keepNext w:val="0"/>
        <w:keepLines w:val="0"/>
        <w:numPr>
          <w:ilvl w:val="0"/>
          <w:numId w:val="26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Bone marrow culture &gt; blood culture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sensitivity.</w:t>
      </w:r>
    </w:p>
    <w:p xmlns:wp14="http://schemas.microsoft.com/office/word/2010/wordml" w:rsidP="4587CC2E" wp14:paraId="05AED41D" wp14:textId="1C10FAA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B. melitensis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most pathogenic.</w:t>
      </w:r>
    </w:p>
    <w:p xmlns:wp14="http://schemas.microsoft.com/office/word/2010/wordml" w:rsidP="4587CC2E" wp14:paraId="43CDAFAA" wp14:textId="467DE66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Combination therapy (Doxy + Rifampicin)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always.</w:t>
      </w:r>
    </w:p>
    <w:p xmlns:wp14="http://schemas.microsoft.com/office/word/2010/wordml" w:rsidP="4587CC2E" wp14:paraId="6BF67857" wp14:textId="4F2A790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Endocarditis = main cause of mortality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4587CC2E" wp14:paraId="063E8E37" wp14:textId="6F43103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Neurobrucellosis → triple therapy + prolonged duration</w:t>
      </w:r>
      <w:r w:rsidRPr="4587CC2E" w:rsidR="03887EC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4587CC2E" wp14:paraId="5E5787A5" wp14:textId="3AF1E99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587CC2E" w:rsidR="03887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Lab hazard – inform lab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3f6f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532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17dc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0143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7770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c3f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a1d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6b4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982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a33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f2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0e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4d1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89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aeb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af4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221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3c4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da5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cb2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0a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3d5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a43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d74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543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6d8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F7053"/>
    <w:rsid w:val="017804BE"/>
    <w:rsid w:val="03887EC2"/>
    <w:rsid w:val="07DF67E7"/>
    <w:rsid w:val="09CA746C"/>
    <w:rsid w:val="0B6B8911"/>
    <w:rsid w:val="0D4F1C15"/>
    <w:rsid w:val="0E0E4A13"/>
    <w:rsid w:val="0E6B181C"/>
    <w:rsid w:val="1019C206"/>
    <w:rsid w:val="10831046"/>
    <w:rsid w:val="14BCAE51"/>
    <w:rsid w:val="20DD9D2F"/>
    <w:rsid w:val="2145672D"/>
    <w:rsid w:val="2744D06B"/>
    <w:rsid w:val="2A43CFA7"/>
    <w:rsid w:val="2AD9EBAC"/>
    <w:rsid w:val="356055F7"/>
    <w:rsid w:val="385F7053"/>
    <w:rsid w:val="3CC3E033"/>
    <w:rsid w:val="3E8AA453"/>
    <w:rsid w:val="4179DCC6"/>
    <w:rsid w:val="44A988F4"/>
    <w:rsid w:val="4587CC2E"/>
    <w:rsid w:val="497FC66D"/>
    <w:rsid w:val="4A4D6BBB"/>
    <w:rsid w:val="4CC2881D"/>
    <w:rsid w:val="5012387C"/>
    <w:rsid w:val="5487499A"/>
    <w:rsid w:val="643D3640"/>
    <w:rsid w:val="663BE118"/>
    <w:rsid w:val="6E56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7053"/>
  <w15:chartTrackingRefBased/>
  <w15:docId w15:val="{9416956A-26CA-453B-B88C-5FD85DB8A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587CC2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587CC2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587CC2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587CC2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9ee08c5dbb48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2025-08-20T06:17:35.5444737Z</dcterms:created>
  <dcterms:modified xsi:type="dcterms:W3CDTF">2025-10-07T08:21:08.5326606Z</dcterms:modified>
</coreProperties>
</file>