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D91DDC" wp14:paraId="244B86A3" wp14:textId="275AB94D">
      <w:pPr>
        <w:pStyle w:val="Heading1"/>
        <w:rPr>
          <w:noProof w:val="0"/>
          <w:lang w:val="en-GB"/>
        </w:rPr>
      </w:pPr>
      <w:r w:rsidRPr="718F47B5" w:rsidR="3127F466">
        <w:rPr>
          <w:noProof w:val="0"/>
          <w:lang w:val="en-GB"/>
        </w:rPr>
        <w:t>Coxiella burnetti – Q fever</w:t>
      </w:r>
    </w:p>
    <w:p xmlns:wp14="http://schemas.microsoft.com/office/word/2010/wordml" w:rsidP="18D91DDC" wp14:paraId="10ABF508" wp14:textId="793D3FD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1. Overview &amp; Taxonomy</w:t>
      </w:r>
    </w:p>
    <w:p xmlns:wp14="http://schemas.microsoft.com/office/word/2010/wordml" w:rsidP="18D91DDC" wp14:paraId="009F02A3" wp14:textId="633116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Small, pleomorphic,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Gram-negative coccobacillus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.</w:t>
      </w:r>
    </w:p>
    <w:p xmlns:wp14="http://schemas.microsoft.com/office/word/2010/wordml" w:rsidP="18D91DDC" wp14:paraId="18D76EBC" wp14:textId="3DFD6D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Obligate intracellular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(replicates in acidic phagolysosomes of host cells, esp. macrophages).</w:t>
      </w:r>
    </w:p>
    <w:p xmlns:wp14="http://schemas.microsoft.com/office/word/2010/wordml" w:rsidP="18D91DDC" wp14:paraId="7B299E63" wp14:textId="14B18F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EBCFC88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Two morphologic variants:</w:t>
      </w:r>
    </w:p>
    <w:p w:rsidR="2EBCFC88" w:rsidP="2EBCFC88" w:rsidRDefault="2EBCFC88" w14:paraId="19921D3B" w14:textId="290AAB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</w:p>
    <w:p xmlns:wp14="http://schemas.microsoft.com/office/word/2010/wordml" w:rsidP="18D91DDC" wp14:paraId="6E1BC39A" wp14:textId="13BB35F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Small Cell Variant (SCV)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metabolically inactive, environmentally resistant; survives months–years in dust, wool, milk.</w:t>
      </w:r>
    </w:p>
    <w:p xmlns:wp14="http://schemas.microsoft.com/office/word/2010/wordml" w:rsidP="18D91DDC" wp14:paraId="13B8F143" wp14:textId="6D5394C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Large Cell Variant (LCV)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metabolically active.</w:t>
      </w:r>
    </w:p>
    <w:p xmlns:wp14="http://schemas.microsoft.com/office/word/2010/wordml" w:rsidP="18D91DDC" wp14:paraId="247EB3F3" wp14:textId="7B3B3A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Non-motile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, no flagella.</w:t>
      </w:r>
    </w:p>
    <w:p xmlns:wp14="http://schemas.microsoft.com/office/word/2010/wordml" w:rsidP="18D91DDC" wp14:paraId="40D2F4ED" wp14:textId="0DFDD7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Antigenic phases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(LPS variation):</w:t>
      </w:r>
    </w:p>
    <w:p xmlns:wp14="http://schemas.microsoft.com/office/word/2010/wordml" w:rsidP="18D91DDC" wp14:paraId="096FC8B8" wp14:textId="1B82AC9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Phase I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smooth LPS, virulent, found in nature.</w:t>
      </w:r>
    </w:p>
    <w:p xmlns:wp14="http://schemas.microsoft.com/office/word/2010/wordml" w:rsidP="18D91DDC" wp14:paraId="219E40F1" wp14:textId="5B63F41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Phase II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rough LPS, avirulent, seen after in vitro passage.</w:t>
      </w:r>
    </w:p>
    <w:p xmlns:wp14="http://schemas.microsoft.com/office/word/2010/wordml" w:rsidP="18D91DDC" wp14:paraId="4E66ECE6" wp14:textId="7D5C08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Reservoirs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sheep, goats, cattle (primary); also cats, dogs, wild mammals, birds, ticks.</w:t>
      </w:r>
    </w:p>
    <w:p xmlns:wp14="http://schemas.microsoft.com/office/word/2010/wordml" w:rsidP="18D91DDC" wp14:paraId="699C1A8C" wp14:textId="39CE305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Transmission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18D91DDC" wp14:paraId="3226D42C" wp14:textId="04249B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Aerosolised particles from birth products, urine, faeces, milk.</w:t>
      </w:r>
    </w:p>
    <w:p xmlns:wp14="http://schemas.microsoft.com/office/word/2010/wordml" w:rsidP="18D91DDC" wp14:paraId="39258362" wp14:textId="09179F8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Raw milk ingestion possible (less common).</w:t>
      </w:r>
    </w:p>
    <w:p xmlns:wp14="http://schemas.microsoft.com/office/word/2010/wordml" w:rsidP="18D91DDC" wp14:paraId="6DF431F5" wp14:textId="5BFAF1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Very low infectious dose (~1 organism).</w:t>
      </w:r>
    </w:p>
    <w:p xmlns:wp14="http://schemas.microsoft.com/office/word/2010/wordml" w:rsidP="18D91DDC" wp14:paraId="58BF2479" wp14:textId="06CCB12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Rare human-to-human spread.</w:t>
      </w:r>
    </w:p>
    <w:p xmlns:wp14="http://schemas.microsoft.com/office/word/2010/wordml" w:rsidP="18D91DDC" wp14:paraId="066E3BDD" wp14:textId="145BB0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Epidemiology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Worldwide; UK notifiable disease.</w:t>
      </w:r>
    </w:p>
    <w:p xmlns:wp14="http://schemas.microsoft.com/office/word/2010/wordml" w:rsidP="18D91DDC" wp14:paraId="006B6CD2" wp14:textId="5649AD2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2. Laboratory Microbiology</w:t>
      </w:r>
    </w:p>
    <w:p xmlns:wp14="http://schemas.microsoft.com/office/word/2010/wordml" w:rsidP="18D91DDC" wp14:paraId="610B2068" wp14:textId="0AB413D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A) Safety</w:t>
      </w:r>
    </w:p>
    <w:p xmlns:wp14="http://schemas.microsoft.com/office/word/2010/wordml" w:rsidP="18D91DDC" wp14:paraId="1B8C2DD1" wp14:textId="3DC7C2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Hazard Group 3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highly infectious via aerosols. All culture or manipulation in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BSL-3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containment.</w:t>
      </w:r>
    </w:p>
    <w:p xmlns:wp14="http://schemas.microsoft.com/office/word/2010/wordml" w:rsidP="18D91DDC" wp14:paraId="57B13C75" wp14:textId="791E519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B) Growth &amp; Culture</w:t>
      </w:r>
    </w:p>
    <w:p xmlns:wp14="http://schemas.microsoft.com/office/word/2010/wordml" w:rsidP="18D91DDC" wp14:paraId="7C8555CE" wp14:textId="378A70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No growth on routine bacteriological media.</w:t>
      </w:r>
    </w:p>
    <w:p xmlns:wp14="http://schemas.microsoft.com/office/word/2010/wordml" w:rsidP="18D91DDC" wp14:paraId="334A4E7C" wp14:textId="433BCB5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Requires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eukaryotic host cells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embryonated eggs, cell lines (e.g., Vero, L929, HeLa), or lab animals.</w:t>
      </w:r>
    </w:p>
    <w:p xmlns:wp14="http://schemas.microsoft.com/office/word/2010/wordml" w:rsidP="18D91DDC" wp14:paraId="776A750A" wp14:textId="34614B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Culture performed only in reference labs (never routine).</w:t>
      </w:r>
    </w:p>
    <w:p xmlns:wp14="http://schemas.microsoft.com/office/word/2010/wordml" w:rsidP="18D91DDC" wp14:paraId="1FD3B1C6" wp14:textId="0631777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C) Staining</w:t>
      </w:r>
    </w:p>
    <w:p xmlns:wp14="http://schemas.microsoft.com/office/word/2010/wordml" w:rsidP="18D91DDC" wp14:paraId="08CF703D" wp14:textId="0B77789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Gram stain: faint Gram-negative coccobacilli (often not seen).</w:t>
      </w:r>
    </w:p>
    <w:p xmlns:wp14="http://schemas.microsoft.com/office/word/2010/wordml" w:rsidP="18D91DDC" wp14:paraId="4AC209BD" wp14:textId="64D81B1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Gimenez stain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organisms stain red against green background.</w:t>
      </w:r>
    </w:p>
    <w:p xmlns:wp14="http://schemas.microsoft.com/office/word/2010/wordml" w:rsidP="18D91DDC" wp14:paraId="2CD1B1B2" wp14:textId="078178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Stamp stain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(modified Ziehl-Neelsen): organisms stain red.</w:t>
      </w:r>
    </w:p>
    <w:p xmlns:wp14="http://schemas.microsoft.com/office/word/2010/wordml" w:rsidP="18D91DDC" wp14:paraId="005FF7D5" wp14:textId="2D4E0C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Immunohistochemistry (IHC)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detects antigen in tissue (valve, liver) — useful in culture-negative IE.</w:t>
      </w:r>
    </w:p>
    <w:p xmlns:wp14="http://schemas.microsoft.com/office/word/2010/wordml" w:rsidP="18D91DDC" wp14:paraId="5E9E0EF3" wp14:textId="047E814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D) Molecular Diagnostics</w:t>
      </w:r>
    </w:p>
    <w:p xmlns:wp14="http://schemas.microsoft.com/office/word/2010/wordml" w:rsidP="18D91DDC" wp14:paraId="3AFDEE8E" wp14:textId="79DF0F2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PCR is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first-line in early acute infection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(before seroconversion).</w:t>
      </w:r>
    </w:p>
    <w:p xmlns:wp14="http://schemas.microsoft.com/office/word/2010/wordml" w:rsidP="18D91DDC" wp14:paraId="755E0E25" wp14:textId="6DE5C51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Best specimens:</w:t>
      </w:r>
    </w:p>
    <w:p xmlns:wp14="http://schemas.microsoft.com/office/word/2010/wordml" w:rsidP="18D91DDC" wp14:paraId="0B97FAE4" wp14:textId="2748411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EDTA blood or serum in early acute (&lt;2 wks).</w:t>
      </w:r>
    </w:p>
    <w:p xmlns:wp14="http://schemas.microsoft.com/office/word/2010/wordml" w:rsidP="18D91DDC" wp14:paraId="0ACB561F" wp14:textId="387F18B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Tissue from valves, vascular grafts, aneurysms, liver biopsy in chronic disease.</w:t>
      </w:r>
    </w:p>
    <w:p xmlns:wp14="http://schemas.microsoft.com/office/word/2010/wordml" w:rsidP="18D91DDC" wp14:paraId="77B90494" wp14:textId="5B08623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Limitations:</w:t>
      </w:r>
    </w:p>
    <w:p xmlns:wp14="http://schemas.microsoft.com/office/word/2010/wordml" w:rsidP="18D91DDC" wp14:paraId="00EBA3B5" wp14:textId="22D8421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Sensitivity declines after 2 weeks in acute infection or after antibiotics.</w:t>
      </w:r>
    </w:p>
    <w:p xmlns:wp14="http://schemas.microsoft.com/office/word/2010/wordml" w:rsidP="18D91DDC" wp14:paraId="5936B1D7" wp14:textId="7C88A5A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E) Serology (IFA = reference standard)</w:t>
      </w:r>
    </w:p>
    <w:p xmlns:wp14="http://schemas.microsoft.com/office/word/2010/wordml" w:rsidP="18D91DDC" wp14:paraId="537CAFED" wp14:textId="27B5EE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Measures IgG/IgM to Phase I and II antigens.</w:t>
      </w:r>
    </w:p>
    <w:p xmlns:wp14="http://schemas.microsoft.com/office/word/2010/wordml" w:rsidP="18D91DDC" wp14:paraId="3CCDE8DB" wp14:textId="0F4C60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Acute Q fever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18D91DDC" wp14:paraId="74BE75AF" wp14:textId="7D81CE2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High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Phase II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IgG ± IgM; Phase I low or absent early.</w:t>
      </w:r>
    </w:p>
    <w:p xmlns:wp14="http://schemas.microsoft.com/office/word/2010/wordml" w:rsidP="18D91DDC" wp14:paraId="454B649E" wp14:textId="0BFDF29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Chronic Q fever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</w:t>
      </w:r>
    </w:p>
    <w:p xmlns:wp14="http://schemas.microsoft.com/office/word/2010/wordml" w:rsidP="18D91DDC" wp14:paraId="22759ADF" wp14:textId="0193432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High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Phase I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IgG (≥1:800; lab-specific cut-off), often high Phase II IgG too.</w:t>
      </w:r>
    </w:p>
    <w:p xmlns:wp14="http://schemas.microsoft.com/office/word/2010/wordml" w:rsidP="18D91DDC" wp14:paraId="41C6611E" wp14:textId="48E5C5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Paired sera (2–3 weeks apart) may be needed — early samples can be negative.</w:t>
      </w:r>
    </w:p>
    <w:p xmlns:wp14="http://schemas.microsoft.com/office/word/2010/wordml" w:rsidP="18D91DDC" wp14:paraId="0B321119" wp14:textId="57EF98C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Cross-reactions: occasional low-level with </w:t>
      </w:r>
      <w:r w:rsidRPr="18D91DDC" w:rsidR="476E1EAA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Legionella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18D91DDC" w:rsidR="476E1EAA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Bartonella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18D91DDC" w:rsidR="476E1EAA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Chlamydophila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.</w:t>
      </w:r>
    </w:p>
    <w:p xmlns:wp14="http://schemas.microsoft.com/office/word/2010/wordml" w:rsidP="18D91DDC" wp14:paraId="1A213E25" wp14:textId="38DA8C6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G) Antimicrobial Susceptibility Testing</w:t>
      </w:r>
    </w:p>
    <w:p xmlns:wp14="http://schemas.microsoft.com/office/word/2010/wordml" w:rsidP="18D91DDC" wp14:paraId="444B2D07" wp14:textId="190490A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Not routine — obligate intracellular nature prevents standard MIC testing.</w:t>
      </w:r>
    </w:p>
    <w:p xmlns:wp14="http://schemas.microsoft.com/office/word/2010/wordml" w:rsidP="18D91DDC" wp14:paraId="76C7589A" wp14:textId="2D24742C">
      <w:pPr>
        <w:rPr>
          <w:sz w:val="20"/>
          <w:szCs w:val="20"/>
        </w:rPr>
      </w:pPr>
    </w:p>
    <w:p xmlns:wp14="http://schemas.microsoft.com/office/word/2010/wordml" w:rsidP="18D91DDC" wp14:paraId="752434D6" wp14:textId="1FA752A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3. Clinical Syndromes</w:t>
      </w:r>
    </w:p>
    <w:p xmlns:wp14="http://schemas.microsoft.com/office/word/2010/wordml" w:rsidP="18D91DDC" wp14:paraId="5AE03633" wp14:textId="402B4FA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A) Acute Q Fever</w:t>
      </w:r>
    </w:p>
    <w:p xmlns:wp14="http://schemas.microsoft.com/office/word/2010/wordml" w:rsidP="18D91DDC" wp14:paraId="593D9D1C" wp14:textId="23BACBD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Incubation: ~2–3 weeks.</w:t>
      </w:r>
    </w:p>
    <w:p xmlns:wp14="http://schemas.microsoft.com/office/word/2010/wordml" w:rsidP="18D91DDC" wp14:paraId="2BBEFADD" wp14:textId="261B0B3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Presentations:</w:t>
      </w:r>
    </w:p>
    <w:p xmlns:wp14="http://schemas.microsoft.com/office/word/2010/wordml" w:rsidP="18D91DDC" wp14:paraId="2CB4A2C3" wp14:textId="7595920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Asymptomatic (≈50%).</w:t>
      </w:r>
    </w:p>
    <w:p xmlns:wp14="http://schemas.microsoft.com/office/word/2010/wordml" w:rsidP="18D91DDC" wp14:paraId="64CC6530" wp14:textId="1AA0F77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Abrupt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 xml:space="preserve"> flu-like illness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fever, sweats, headache, myalgia.</w:t>
      </w:r>
    </w:p>
    <w:p xmlns:wp14="http://schemas.microsoft.com/office/word/2010/wordml" w:rsidP="18D91DDC" wp14:paraId="57C15F17" wp14:textId="5E3C423C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Atypical pneumonia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non-productive cough, patchy infiltrates.</w:t>
      </w:r>
    </w:p>
    <w:p xmlns:wp14="http://schemas.microsoft.com/office/word/2010/wordml" w:rsidP="18D91DDC" wp14:paraId="2A35EE0A" wp14:textId="1D911F5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Hepatitis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: fever, hepatomegaly, raised transaminases ± jaundice.</w:t>
      </w:r>
    </w:p>
    <w:p xmlns:wp14="http://schemas.microsoft.com/office/word/2010/wordml" w:rsidP="18D91DDC" wp14:paraId="6208DC77" wp14:textId="32B9213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Complications: meningoencephalitis, myocarditis, pericarditis.</w:t>
      </w:r>
    </w:p>
    <w:p xmlns:wp14="http://schemas.microsoft.com/office/word/2010/wordml" w:rsidP="18D91DDC" wp14:paraId="3575FC40" wp14:textId="28E96D9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B) Chronic Q Fever</w:t>
      </w:r>
    </w:p>
    <w:p xmlns:wp14="http://schemas.microsoft.com/office/word/2010/wordml" w:rsidP="18D91DDC" wp14:paraId="24FE2633" wp14:textId="119CD2F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Occurs in &lt;5% of infections; months–years after acute phase.</w:t>
      </w:r>
    </w:p>
    <w:p xmlns:wp14="http://schemas.microsoft.com/office/word/2010/wordml" w:rsidP="18D91DDC" wp14:paraId="1C6AA2B0" wp14:textId="4A83F05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Risk factors: pregnancy, immunosuppression, valvular/vascular abnormalities, prosthetic valves/grafts.</w:t>
      </w:r>
    </w:p>
    <w:p xmlns:wp14="http://schemas.microsoft.com/office/word/2010/wordml" w:rsidP="18D91DDC" wp14:paraId="74FF0734" wp14:textId="6371FC7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Most common form: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culture-negative endocarditis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.</w:t>
      </w:r>
    </w:p>
    <w:p xmlns:wp14="http://schemas.microsoft.com/office/word/2010/wordml" w:rsidP="18D91DDC" wp14:paraId="08A1C117" wp14:textId="3246CB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Others: infected aneurysm, vascular graft infection, chronic hepatitis, osteomyelitis.</w:t>
      </w:r>
    </w:p>
    <w:p xmlns:wp14="http://schemas.microsoft.com/office/word/2010/wordml" w:rsidP="18D91DDC" wp14:paraId="428CD2FE" wp14:textId="4773509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High mortality untreated.</w:t>
      </w:r>
    </w:p>
    <w:p xmlns:wp14="http://schemas.microsoft.com/office/word/2010/wordml" w:rsidP="18D91DDC" wp14:paraId="066264F1" wp14:textId="16172F9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C) Q Fever in Pregnancy</w:t>
      </w:r>
    </w:p>
    <w:p xmlns:wp14="http://schemas.microsoft.com/office/word/2010/wordml" w:rsidP="18D91DDC" wp14:paraId="5CBC8D72" wp14:textId="5EF1417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Higher maternal and fetal risks: miscarriage, stillbirth, preterm delivery.</w:t>
      </w:r>
    </w:p>
    <w:p xmlns:wp14="http://schemas.microsoft.com/office/word/2010/wordml" w:rsidP="18D91DDC" wp14:paraId="10A083F7" wp14:textId="3541A59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Chronic infection risk increased.</w:t>
      </w:r>
    </w:p>
    <w:p xmlns:wp14="http://schemas.microsoft.com/office/word/2010/wordml" w:rsidP="18D91DDC" wp14:paraId="25DB41BA" wp14:textId="3616F44D">
      <w:pPr>
        <w:rPr>
          <w:sz w:val="20"/>
          <w:szCs w:val="20"/>
        </w:rPr>
      </w:pPr>
    </w:p>
    <w:p xmlns:wp14="http://schemas.microsoft.com/office/word/2010/wordml" w:rsidP="18D91DDC" wp14:paraId="5ABDEFC9" wp14:textId="74F3A98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4. Diagnosis – Practical Summary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519"/>
        <w:gridCol w:w="5847"/>
      </w:tblGrid>
      <w:tr w:rsidR="18D91DDC" w:rsidTr="18D91DDC" w14:paraId="3EB74A3E">
        <w:trPr>
          <w:trHeight w:val="300"/>
        </w:trPr>
        <w:tc>
          <w:tcPr>
            <w:tcW w:w="3519" w:type="dxa"/>
            <w:tcMar/>
            <w:vAlign w:val="center"/>
          </w:tcPr>
          <w:p w:rsidR="18D91DDC" w:rsidP="18D91DDC" w:rsidRDefault="18D91DDC" w14:paraId="178BB3E4" w14:textId="1C488C0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18D91DDC" w:rsidR="18D91DDC">
              <w:rPr>
                <w:b w:val="1"/>
                <w:bCs w:val="1"/>
                <w:sz w:val="20"/>
                <w:szCs w:val="20"/>
              </w:rPr>
              <w:t>Scenario</w:t>
            </w:r>
          </w:p>
        </w:tc>
        <w:tc>
          <w:tcPr>
            <w:tcW w:w="5847" w:type="dxa"/>
            <w:tcMar/>
            <w:vAlign w:val="center"/>
          </w:tcPr>
          <w:p w:rsidR="18D91DDC" w:rsidP="18D91DDC" w:rsidRDefault="18D91DDC" w14:paraId="65793FD4" w14:textId="63119D1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18D91DDC" w:rsidR="18D91DDC">
              <w:rPr>
                <w:b w:val="1"/>
                <w:bCs w:val="1"/>
                <w:sz w:val="20"/>
                <w:szCs w:val="20"/>
              </w:rPr>
              <w:t>Best test(s)</w:t>
            </w:r>
          </w:p>
        </w:tc>
      </w:tr>
      <w:tr w:rsidR="18D91DDC" w:rsidTr="18D91DDC" w14:paraId="108C86B6">
        <w:trPr>
          <w:trHeight w:val="300"/>
        </w:trPr>
        <w:tc>
          <w:tcPr>
            <w:tcW w:w="3519" w:type="dxa"/>
            <w:tcMar/>
            <w:vAlign w:val="center"/>
          </w:tcPr>
          <w:p w:rsidR="18D91DDC" w:rsidP="18D91DDC" w:rsidRDefault="18D91DDC" w14:paraId="06EBDD4A" w14:textId="51A85A1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Early acute (&lt;14 d)</w:t>
            </w:r>
          </w:p>
        </w:tc>
        <w:tc>
          <w:tcPr>
            <w:tcW w:w="5847" w:type="dxa"/>
            <w:tcMar/>
            <w:vAlign w:val="center"/>
          </w:tcPr>
          <w:p w:rsidR="18D91DDC" w:rsidP="18D91DDC" w:rsidRDefault="18D91DDC" w14:paraId="4FBFE07B" w14:textId="4434D8D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PCR on EDTA blood ± serum</w:t>
            </w:r>
          </w:p>
        </w:tc>
      </w:tr>
      <w:tr w:rsidR="18D91DDC" w:rsidTr="18D91DDC" w14:paraId="1052B17D">
        <w:trPr>
          <w:trHeight w:val="300"/>
        </w:trPr>
        <w:tc>
          <w:tcPr>
            <w:tcW w:w="3519" w:type="dxa"/>
            <w:tcMar/>
            <w:vAlign w:val="center"/>
          </w:tcPr>
          <w:p w:rsidR="18D91DDC" w:rsidP="18D91DDC" w:rsidRDefault="18D91DDC" w14:paraId="643FA40D" w14:textId="06A944F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Acute (&gt;14 d)</w:t>
            </w:r>
          </w:p>
        </w:tc>
        <w:tc>
          <w:tcPr>
            <w:tcW w:w="5847" w:type="dxa"/>
            <w:tcMar/>
            <w:vAlign w:val="center"/>
          </w:tcPr>
          <w:p w:rsidR="18D91DDC" w:rsidP="18D91DDC" w:rsidRDefault="18D91DDC" w14:paraId="1C5A294B" w14:textId="53F11B2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Serology (rise in Phase II IgG/IgM)</w:t>
            </w:r>
          </w:p>
        </w:tc>
      </w:tr>
      <w:tr w:rsidR="18D91DDC" w:rsidTr="18D91DDC" w14:paraId="69B563D3">
        <w:trPr>
          <w:trHeight w:val="300"/>
        </w:trPr>
        <w:tc>
          <w:tcPr>
            <w:tcW w:w="3519" w:type="dxa"/>
            <w:tcMar/>
            <w:vAlign w:val="center"/>
          </w:tcPr>
          <w:p w:rsidR="18D91DDC" w:rsidP="18D91DDC" w:rsidRDefault="18D91DDC" w14:paraId="6EE7E789" w14:textId="2444379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Chronic Q fever</w:t>
            </w:r>
          </w:p>
        </w:tc>
        <w:tc>
          <w:tcPr>
            <w:tcW w:w="5847" w:type="dxa"/>
            <w:tcMar/>
            <w:vAlign w:val="center"/>
          </w:tcPr>
          <w:p w:rsidR="18D91DDC" w:rsidP="18D91DDC" w:rsidRDefault="18D91DDC" w14:paraId="523A854E" w14:textId="7127AA0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Serology: high Phase I IgG ≥1:800 ± PCR on tissue</w:t>
            </w:r>
          </w:p>
        </w:tc>
      </w:tr>
      <w:tr w:rsidR="18D91DDC" w:rsidTr="18D91DDC" w14:paraId="5BCF2D44">
        <w:trPr>
          <w:trHeight w:val="300"/>
        </w:trPr>
        <w:tc>
          <w:tcPr>
            <w:tcW w:w="3519" w:type="dxa"/>
            <w:tcMar/>
            <w:vAlign w:val="center"/>
          </w:tcPr>
          <w:p w:rsidR="18D91DDC" w:rsidP="18D91DDC" w:rsidRDefault="18D91DDC" w14:paraId="0A1DA13C" w14:textId="6171BBF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BCNIE</w:t>
            </w:r>
            <w:r w:rsidRPr="18D91DDC" w:rsidR="0662C106">
              <w:rPr>
                <w:sz w:val="20"/>
                <w:szCs w:val="20"/>
              </w:rPr>
              <w:t xml:space="preserve"> / vascular</w:t>
            </w:r>
          </w:p>
        </w:tc>
        <w:tc>
          <w:tcPr>
            <w:tcW w:w="5847" w:type="dxa"/>
            <w:tcMar/>
            <w:vAlign w:val="center"/>
          </w:tcPr>
          <w:p w:rsidR="18D91DDC" w:rsidP="18D91DDC" w:rsidRDefault="18D91DDC" w14:paraId="757ABEB3" w14:textId="6187B40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18D91DDC" w:rsidR="18D91DDC">
              <w:rPr>
                <w:sz w:val="20"/>
                <w:szCs w:val="20"/>
              </w:rPr>
              <w:t>Coxiella + Bartonella serology; PCR on valve if available</w:t>
            </w:r>
          </w:p>
        </w:tc>
      </w:tr>
    </w:tbl>
    <w:p xmlns:wp14="http://schemas.microsoft.com/office/word/2010/wordml" w:rsidP="18D91DDC" wp14:paraId="444D2008" wp14:textId="2412ECEB">
      <w:pPr>
        <w:bidi w:val="0"/>
        <w:rPr>
          <w:sz w:val="20"/>
          <w:szCs w:val="20"/>
        </w:rPr>
      </w:pPr>
    </w:p>
    <w:p xmlns:wp14="http://schemas.microsoft.com/office/word/2010/wordml" w:rsidP="18D91DDC" wp14:paraId="74015202" wp14:textId="19BD04C7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5. Treatment</w:t>
      </w:r>
    </w:p>
    <w:p xmlns:wp14="http://schemas.microsoft.com/office/word/2010/wordml" w:rsidP="18D91DDC" wp14:paraId="3EB62854" wp14:textId="7C836B3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A) Acute Q Fever</w:t>
      </w:r>
    </w:p>
    <w:p xmlns:wp14="http://schemas.microsoft.com/office/word/2010/wordml" w:rsidP="18D91DDC" wp14:paraId="71C93A7D" wp14:textId="7D011BC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Adults: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bd × 14 days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(7 days may suffice for uncomplicated pneumonia; use 14 days if hepatitis).</w:t>
      </w:r>
    </w:p>
    <w:p xmlns:wp14="http://schemas.microsoft.com/office/word/2010/wordml" w:rsidP="18D91DDC" wp14:paraId="535AB1EA" wp14:textId="2FA009B4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Pregnancy: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Co-trimoxazole 160/800 mg bd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until delivery (stop ~32–36 wks to avoid folate antagonism).</w:t>
      </w:r>
    </w:p>
    <w:p xmlns:wp14="http://schemas.microsoft.com/office/word/2010/wordml" w:rsidP="18D91DDC" wp14:paraId="4D6DB177" wp14:textId="788141C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B) Chronic Q Fever (IE/vascular infection)</w:t>
      </w:r>
    </w:p>
    <w:p xmlns:wp14="http://schemas.microsoft.com/office/word/2010/wordml" w:rsidP="18D91DDC" wp14:paraId="400A2C59" wp14:textId="59C777B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bd + Hydroxychloroquine 200 mg tds</w:t>
      </w:r>
    </w:p>
    <w:p xmlns:wp14="http://schemas.microsoft.com/office/word/2010/wordml" w:rsidP="18D91DDC" wp14:paraId="2CABF791" wp14:textId="05417B9B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Duration: ≥18 mo (native valve), ≥24 mo (prosthetic/graft).</w:t>
      </w:r>
    </w:p>
    <w:p xmlns:wp14="http://schemas.microsoft.com/office/word/2010/wordml" w:rsidP="18D91DDC" wp14:paraId="5FAE32C6" wp14:textId="201F2F9F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Monitor HCQ levels (target 0.8–1.2 µg/ml) and retinal toxicity.</w:t>
      </w:r>
    </w:p>
    <w:p xmlns:wp14="http://schemas.microsoft.com/office/word/2010/wordml" w:rsidP="18D91DDC" wp14:paraId="19A4D6B7" wp14:textId="5FEC645A">
      <w:pPr>
        <w:pStyle w:val="ListParagraph"/>
        <w:numPr>
          <w:ilvl w:val="1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Follow Phase I IgG titres — falling titres suggest cure.</w:t>
      </w:r>
    </w:p>
    <w:p xmlns:wp14="http://schemas.microsoft.com/office/word/2010/wordml" w:rsidP="18D91DDC" wp14:paraId="770012D1" wp14:textId="6186F3EA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If HCQ contraindicated: doxycycline + fluoroquinolone (less effective).</w:t>
      </w:r>
    </w:p>
    <w:p xmlns:wp14="http://schemas.microsoft.com/office/word/2010/wordml" w:rsidP="18D91DDC" wp14:paraId="1917617A" wp14:textId="266F21C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C) Post-Exposure Prophylaxis</w:t>
      </w:r>
    </w:p>
    <w:p xmlns:wp14="http://schemas.microsoft.com/office/word/2010/wordml" w:rsidP="18D91DDC" wp14:paraId="442C9025" wp14:textId="5B1B0F8F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For high-risk exposures (e.g., pregnant lab worker):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Doxycycline 100 mg daily × 5–7 days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within 8–12 days post-exposure.</w:t>
      </w:r>
    </w:p>
    <w:p xmlns:wp14="http://schemas.microsoft.com/office/word/2010/wordml" w:rsidP="18D91DDC" wp14:paraId="7762C021" wp14:textId="106B2679">
      <w:pPr>
        <w:bidi w:val="0"/>
        <w:rPr>
          <w:sz w:val="20"/>
          <w:szCs w:val="20"/>
        </w:rPr>
      </w:pPr>
    </w:p>
    <w:p xmlns:wp14="http://schemas.microsoft.com/office/word/2010/wordml" w:rsidP="18D91DDC" wp14:paraId="47F043BC" wp14:textId="69EB24D5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6. Prevention &amp; Control</w:t>
      </w:r>
    </w:p>
    <w:p xmlns:wp14="http://schemas.microsoft.com/office/word/2010/wordml" w:rsidP="18D91DDC" wp14:paraId="3DFBAFCC" wp14:textId="6FC01C92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No UK-licensed human vaccine (Q-Vax in Australia; whole-cell inactivated; requires pre-vaccine screening).</w:t>
      </w:r>
    </w:p>
    <w:p xmlns:wp14="http://schemas.microsoft.com/office/word/2010/wordml" w:rsidP="18D91DDC" wp14:paraId="3C20D691" wp14:textId="6AC929A4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Animal control: manage birthing products, pasteurise milk, vaccinate animals in endemic areas.</w:t>
      </w:r>
    </w:p>
    <w:p xmlns:wp14="http://schemas.microsoft.com/office/word/2010/wordml" w:rsidP="18D91DDC" wp14:paraId="1749050F" wp14:textId="5550E9BC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Lab: strict BSL-3 containment for culture/high-risk specimens.</w:t>
      </w:r>
    </w:p>
    <w:p xmlns:wp14="http://schemas.microsoft.com/office/word/2010/wordml" w:rsidP="18D91DDC" wp14:paraId="67178AD8" wp14:textId="2BE45D33">
      <w:pPr>
        <w:bidi w:val="0"/>
        <w:rPr>
          <w:sz w:val="20"/>
          <w:szCs w:val="20"/>
        </w:rPr>
      </w:pPr>
    </w:p>
    <w:p xmlns:wp14="http://schemas.microsoft.com/office/word/2010/wordml" w:rsidP="18D91DDC" wp14:paraId="73B375A9" wp14:textId="3418129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7. Exam Pearls</w:t>
      </w:r>
    </w:p>
    <w:p xmlns:wp14="http://schemas.microsoft.com/office/word/2010/wordml" w:rsidP="18D91DDC" wp14:paraId="30628D6E" wp14:textId="7593C7A5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Always request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Coxiella + Bartonella serology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in BCNIE.</w:t>
      </w:r>
    </w:p>
    <w:p xmlns:wp14="http://schemas.microsoft.com/office/word/2010/wordml" w:rsidP="18D91DDC" wp14:paraId="15001B60" wp14:textId="74DBA5F7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Chronic Q fever =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high Phase I IgG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— a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major Duke-ISCVID criterion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IE.</w:t>
      </w:r>
    </w:p>
    <w:p xmlns:wp14="http://schemas.microsoft.com/office/word/2010/wordml" w:rsidP="18D91DDC" wp14:paraId="7ABA0B9B" wp14:textId="5C0C42B6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PCR from blood is </w:t>
      </w:r>
      <w:r w:rsidRPr="18D91DDC" w:rsidR="476E1EA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early-phase only</w:t>
      </w: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; tissue PCR preferred in chronic disease.</w:t>
      </w:r>
    </w:p>
    <w:p xmlns:wp14="http://schemas.microsoft.com/office/word/2010/wordml" w:rsidP="18D91DDC" wp14:paraId="7B17EB80" wp14:textId="732480E5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Pregnancy: treat until delivery even if asymptomatic (to reduce fetal loss).</w:t>
      </w:r>
    </w:p>
    <w:p xmlns:wp14="http://schemas.microsoft.com/office/word/2010/wordml" w:rsidP="18D91DDC" wp14:paraId="6BAFE1EE" wp14:textId="44799129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Phase I vs Phase II serology differentiation is a favourite exam question.</w:t>
      </w:r>
    </w:p>
    <w:p xmlns:wp14="http://schemas.microsoft.com/office/word/2010/wordml" w:rsidP="18D91DDC" wp14:paraId="03F082A0" wp14:textId="5D8EBC6D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18D91DDC" w:rsidR="476E1EAA">
        <w:rPr>
          <w:rFonts w:ascii="Aptos" w:hAnsi="Aptos" w:eastAsia="Aptos" w:cs="Aptos"/>
          <w:noProof w:val="0"/>
          <w:sz w:val="20"/>
          <w:szCs w:val="20"/>
          <w:lang w:val="en-GB"/>
        </w:rPr>
        <w:t>Extremely infectious: single organism can cause disease; lab safety is critical.</w:t>
      </w:r>
    </w:p>
    <w:p xmlns:wp14="http://schemas.microsoft.com/office/word/2010/wordml" w:rsidP="18D91DDC" wp14:paraId="5E5787A5" wp14:textId="45726E99">
      <w:pPr>
        <w:pStyle w:val="Normal"/>
        <w:bidi w:val="0"/>
        <w:rPr>
          <w:sz w:val="20"/>
          <w:szCs w:val="2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ccd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584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831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eb6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3b7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61f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5cb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42a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5bd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bbc1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c23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20d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0b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dec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f6c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498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5D855"/>
    <w:rsid w:val="0662C106"/>
    <w:rsid w:val="18D91DDC"/>
    <w:rsid w:val="2CFBD29B"/>
    <w:rsid w:val="2EBCFC88"/>
    <w:rsid w:val="3127F466"/>
    <w:rsid w:val="32870803"/>
    <w:rsid w:val="3975D855"/>
    <w:rsid w:val="39DAF498"/>
    <w:rsid w:val="476E1EAA"/>
    <w:rsid w:val="504ED5D3"/>
    <w:rsid w:val="504ED5D3"/>
    <w:rsid w:val="51042ACD"/>
    <w:rsid w:val="589842A7"/>
    <w:rsid w:val="718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D855"/>
  <w15:chartTrackingRefBased/>
  <w15:docId w15:val="{CAD4FE19-1CE0-446D-9B6F-7FEC7ECEC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8D91DD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8D91DD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8D91DD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8D91DD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8799f298bc43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4</revision>
  <dcterms:created xsi:type="dcterms:W3CDTF">2025-08-11T23:01:43.0193927Z</dcterms:created>
  <dcterms:modified xsi:type="dcterms:W3CDTF">2025-10-07T08:17:43.7333873Z</dcterms:modified>
</coreProperties>
</file>