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6A45D5" wp14:paraId="61AC0C7D" wp14:textId="3C712851">
      <w:pPr>
        <w:pStyle w:val="Heading1"/>
        <w:spacing w:before="322" w:beforeAutospacing="off" w:after="322" w:afterAutospacing="off"/>
      </w:pPr>
      <w:r w:rsidRPr="563EB33B" w:rsidR="51DA130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Melioidosis </w:t>
      </w:r>
    </w:p>
    <w:p xmlns:wp14="http://schemas.microsoft.com/office/word/2010/wordml" w:rsidP="156A45D5" wp14:paraId="79C6C652" wp14:textId="7126E204">
      <w:pPr>
        <w:spacing w:before="240" w:beforeAutospacing="off" w:after="240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Causative organism</w:t>
      </w:r>
    </w:p>
    <w:p xmlns:wp14="http://schemas.microsoft.com/office/word/2010/wordml" w:rsidP="156A45D5" wp14:paraId="785785F5" wp14:textId="102421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Burkholderia pseudomallei</w:t>
      </w:r>
    </w:p>
    <w:p xmlns:wp14="http://schemas.microsoft.com/office/word/2010/wordml" w:rsidP="156A45D5" wp14:paraId="72117F4D" wp14:textId="2F59FDA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Motile, aerobic, oxidase-positive, Gram-negative bacillus.</w:t>
      </w:r>
    </w:p>
    <w:p xmlns:wp14="http://schemas.microsoft.com/office/word/2010/wordml" w:rsidP="156A45D5" wp14:paraId="5C81CD0D" wp14:textId="0D56A4E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Environmental saprophyte (soil &amp; water, especially rice paddies).</w:t>
      </w:r>
    </w:p>
    <w:p xmlns:wp14="http://schemas.microsoft.com/office/word/2010/wordml" w:rsidP="156A45D5" wp14:paraId="7A431A3F" wp14:textId="301BD5B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Closely related to </w:t>
      </w:r>
      <w:r w:rsidRPr="156A45D5" w:rsidR="51DA130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mallei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(glanders).</w:t>
      </w:r>
    </w:p>
    <w:p xmlns:wp14="http://schemas.microsoft.com/office/word/2010/wordml" w:rsidP="156A45D5" wp14:paraId="0E83B556" wp14:textId="1CAA834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Hazard Group 3, potential biothreat agent.</w:t>
      </w:r>
    </w:p>
    <w:p xmlns:wp14="http://schemas.microsoft.com/office/word/2010/wordml" w:rsidP="156A45D5" wp14:paraId="4BF022BC" wp14:textId="7C2EE42B">
      <w:pPr>
        <w:pStyle w:val="Heading2"/>
        <w:spacing w:before="299" w:beforeAutospacing="off" w:after="299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Epidemiology</w:t>
      </w:r>
    </w:p>
    <w:p xmlns:wp14="http://schemas.microsoft.com/office/word/2010/wordml" w:rsidP="156A45D5" wp14:paraId="0205D2D6" wp14:textId="7BF890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Endemic in </w:t>
      </w: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 Asia (Thailand, Vietnam, Malaysia, Singapore)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Northern Australia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(Darwin, Top End).</w:t>
      </w:r>
    </w:p>
    <w:p xmlns:wp14="http://schemas.microsoft.com/office/word/2010/wordml" w:rsidP="156A45D5" wp14:paraId="5E1314CA" wp14:textId="3727DC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Increasing recognition in S. Asia, China, parts of Africa, Middle East, Central &amp; South America.</w:t>
      </w:r>
    </w:p>
    <w:p xmlns:wp14="http://schemas.microsoft.com/office/word/2010/wordml" w:rsidP="156A45D5" wp14:paraId="62084601" wp14:textId="221FC0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Reservoir: moist clay soils, surface water.</w:t>
      </w:r>
    </w:p>
    <w:p xmlns:wp14="http://schemas.microsoft.com/office/word/2010/wordml" w:rsidP="156A45D5" wp14:paraId="5936A5BF" wp14:textId="52F444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Transmission:</w:t>
      </w:r>
    </w:p>
    <w:p xmlns:wp14="http://schemas.microsoft.com/office/word/2010/wordml" w:rsidP="156A45D5" wp14:paraId="10068BD1" wp14:textId="7975A8F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Percutaneous inoculation (skin abrasions, wounds).</w:t>
      </w:r>
    </w:p>
    <w:p xmlns:wp14="http://schemas.microsoft.com/office/word/2010/wordml" w:rsidP="156A45D5" wp14:paraId="65D07B8E" wp14:textId="3413B0E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Inhalation (esp. heavy rainfall, cyclones).</w:t>
      </w:r>
    </w:p>
    <w:p xmlns:wp14="http://schemas.microsoft.com/office/word/2010/wordml" w:rsidP="156A45D5" wp14:paraId="5FD35721" wp14:textId="4AFC788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Ingestion (contaminated water).</w:t>
      </w:r>
    </w:p>
    <w:p xmlns:wp14="http://schemas.microsoft.com/office/word/2010/wordml" w:rsidP="156A45D5" wp14:paraId="64F2483A" wp14:textId="2574DC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Risk groups: farmers, construction workers; travellers to endemic areas.</w:t>
      </w:r>
    </w:p>
    <w:p xmlns:wp14="http://schemas.microsoft.com/office/word/2010/wordml" w:rsidP="156A45D5" wp14:paraId="125BEF39" wp14:textId="0151CF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Host risk factors: </w:t>
      </w: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diabetes (major)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56A45D5" w:rsidR="4197056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ETOH, 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CKD, chronic lung disease, immunosuppression.</w:t>
      </w:r>
    </w:p>
    <w:p xmlns:wp14="http://schemas.microsoft.com/office/word/2010/wordml" w:rsidP="156A45D5" wp14:paraId="0368C045" wp14:textId="19AB44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Incubation: days to 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weeks, but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may remain latent for years (“Vietnam time-bomb”).</w:t>
      </w:r>
    </w:p>
    <w:p xmlns:wp14="http://schemas.microsoft.com/office/word/2010/wordml" w:rsidP="156A45D5" wp14:paraId="506C77C2" wp14:textId="7B23D99C">
      <w:pPr>
        <w:pStyle w:val="Heading2"/>
        <w:spacing w:before="299" w:beforeAutospacing="off" w:after="299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Clinical Presentation</w:t>
      </w:r>
    </w:p>
    <w:p xmlns:wp14="http://schemas.microsoft.com/office/word/2010/wordml" w:rsidP="156A45D5" wp14:paraId="4AA2149C" wp14:textId="00BB1F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Broad spectrum – “the great mimicker”:</w:t>
      </w:r>
    </w:p>
    <w:p xmlns:wp14="http://schemas.microsoft.com/office/word/2010/wordml" w:rsidP="156A45D5" wp14:paraId="24C5FD70" wp14:textId="5CF8D8D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Acute fulminant sepsis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: severe pneumonia ± bacteraemia, high mortality.</w:t>
      </w:r>
    </w:p>
    <w:p xmlns:wp14="http://schemas.microsoft.com/office/word/2010/wordml" w:rsidP="156A45D5" wp14:paraId="6C5F52BC" wp14:textId="3D8C782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Chronic disease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: weight loss, prolonged cough, resembles TB.</w:t>
      </w:r>
    </w:p>
    <w:p xmlns:wp14="http://schemas.microsoft.com/office/word/2010/wordml" w:rsidP="156A45D5" wp14:paraId="51327DDD" wp14:textId="087207E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Localized abscesses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: liver, spleen, prostate abscess, parotiditis, skin/soft tissue.</w:t>
      </w:r>
    </w:p>
    <w:p xmlns:wp14="http://schemas.microsoft.com/office/word/2010/wordml" w:rsidP="156A45D5" wp14:paraId="5D400B79" wp14:textId="574CCB7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CNS disease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: encephalomyelitis, brain abscess.</w:t>
      </w:r>
    </w:p>
    <w:p xmlns:wp14="http://schemas.microsoft.com/office/word/2010/wordml" w:rsidP="156A45D5" wp14:paraId="6733EF2A" wp14:textId="7D1CA19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Mortality: up to 40% (higher if untreated).</w:t>
      </w:r>
    </w:p>
    <w:p xmlns:wp14="http://schemas.microsoft.com/office/word/2010/wordml" w:rsidP="62E13F62" wp14:paraId="7310BC0A" wp14:textId="006CA7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2E13F62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Relapse common without prolonged eradication therapy.</w:t>
      </w:r>
    </w:p>
    <w:p xmlns:wp14="http://schemas.microsoft.com/office/word/2010/wordml" w:rsidP="156A45D5" wp14:paraId="7DF687CB" wp14:textId="35EB09B8">
      <w:pPr>
        <w:pStyle w:val="Heading2"/>
        <w:spacing w:before="299" w:beforeAutospacing="off" w:after="299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Microbiology / Laboratory</w:t>
      </w:r>
    </w:p>
    <w:p xmlns:wp14="http://schemas.microsoft.com/office/word/2010/wordml" w:rsidP="156A45D5" wp14:paraId="62B48D6B" wp14:textId="057460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Culture is gold standard.</w:t>
      </w:r>
    </w:p>
    <w:p xmlns:wp14="http://schemas.microsoft.com/office/word/2010/wordml" w:rsidP="156A45D5" wp14:paraId="03E1343F" wp14:textId="4D32AA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Growth on routine media within 24–48 h.</w:t>
      </w:r>
    </w:p>
    <w:p xmlns:wp14="http://schemas.microsoft.com/office/word/2010/wordml" w:rsidP="156A45D5" wp14:paraId="6C1C7F1A" wp14:textId="60BBB0E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Colonies: dry, wrinkled, metallic; earthy/putrid odour.</w:t>
      </w:r>
    </w:p>
    <w:p xmlns:wp14="http://schemas.microsoft.com/office/word/2010/wordml" w:rsidP="156A45D5" wp14:paraId="5FA5752C" wp14:textId="7C13031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Ashdown’s agar (selective): wrinkled, purple colonies.</w:t>
      </w:r>
    </w:p>
    <w:p xmlns:wp14="http://schemas.microsoft.com/office/word/2010/wordml" w:rsidP="156A45D5" wp14:paraId="4768544B" wp14:textId="7326A7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Biochemically: oxidase positive, resistant to many antibiotics.</w:t>
      </w:r>
    </w:p>
    <w:p xmlns:wp14="http://schemas.microsoft.com/office/word/2010/wordml" w:rsidP="156A45D5" wp14:paraId="706CB7BA" wp14:textId="02CC30C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May be misidentified as </w:t>
      </w:r>
      <w:r w:rsidRPr="156A45D5" w:rsidR="51DA130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</w:t>
      </w:r>
      <w:r w:rsidRPr="156A45D5" w:rsidR="51DA130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Burkholderia cepacia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complex on automated systems.</w:t>
      </w:r>
    </w:p>
    <w:p xmlns:wp14="http://schemas.microsoft.com/office/word/2010/wordml" w:rsidP="156A45D5" wp14:paraId="34D2FD5D" wp14:textId="73DCB8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Susceptibility:</w:t>
      </w:r>
    </w:p>
    <w:p xmlns:wp14="http://schemas.microsoft.com/office/word/2010/wordml" w:rsidP="156A45D5" wp14:paraId="576C3405" wp14:textId="4BB2BBA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Intrinsic resistance to aminoglycosides, colistin, macrolides, 1st/2nd gen cephs.</w:t>
      </w:r>
    </w:p>
    <w:p xmlns:wp14="http://schemas.microsoft.com/office/word/2010/wordml" w:rsidP="156A45D5" wp14:paraId="49583758" wp14:textId="2E4602A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Active agents: ceftazidime, meropenem, TMP-SMX, doxycycline, amoxicillin-clavulanate.</w:t>
      </w:r>
    </w:p>
    <w:p xmlns:wp14="http://schemas.microsoft.com/office/word/2010/wordml" w:rsidP="156A45D5" wp14:paraId="19157B71" wp14:textId="40A74A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BSL-3 handling recommended due to lab-acquired infection risk.</w:t>
      </w:r>
    </w:p>
    <w:p xmlns:wp14="http://schemas.microsoft.com/office/word/2010/wordml" w:rsidP="156A45D5" wp14:paraId="749016A3" wp14:textId="1DA9F1DF">
      <w:pPr>
        <w:pStyle w:val="Heading2"/>
        <w:spacing w:before="299" w:beforeAutospacing="off" w:after="299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Treatment</w:t>
      </w:r>
    </w:p>
    <w:p xmlns:wp14="http://schemas.microsoft.com/office/word/2010/wordml" w:rsidP="156A45D5" wp14:paraId="23BDC9ED" wp14:textId="355C19C9">
      <w:pPr>
        <w:spacing w:before="240" w:beforeAutospacing="off" w:after="240" w:afterAutospacing="off"/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Two phases essential (to reduce relapse):</w:t>
      </w:r>
    </w:p>
    <w:p xmlns:wp14="http://schemas.microsoft.com/office/word/2010/wordml" w:rsidP="156A45D5" wp14:paraId="783F050B" wp14:textId="566DD262">
      <w:pPr>
        <w:spacing w:before="240" w:beforeAutospacing="off" w:after="240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Intensive phase (10–14 days, longer if deep organ/CNS disease):</w:t>
      </w:r>
    </w:p>
    <w:p xmlns:wp14="http://schemas.microsoft.com/office/word/2010/wordml" w:rsidP="156A45D5" wp14:paraId="40B685BA" wp14:textId="15F70F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Ceftazidime IV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(standard first-line).</w:t>
      </w:r>
    </w:p>
    <w:p xmlns:wp14="http://schemas.microsoft.com/office/word/2010/wordml" w:rsidP="156A45D5" wp14:paraId="67E3F88D" wp14:textId="33A678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Meropenem IV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(preferred for CNS/severe septic shock).</w:t>
      </w:r>
    </w:p>
    <w:p xmlns:wp14="http://schemas.microsoft.com/office/word/2010/wordml" w:rsidP="156A45D5" wp14:paraId="0CAA3FEB" wp14:textId="279DE7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Alternatives if allergy: imipenem, amox-clav (less effective).</w:t>
      </w:r>
    </w:p>
    <w:p xmlns:wp14="http://schemas.microsoft.com/office/word/2010/wordml" w:rsidP="156A45D5" wp14:paraId="35DA86D7" wp14:textId="4CD301B7">
      <w:pPr>
        <w:spacing w:before="240" w:beforeAutospacing="off" w:after="240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Eradication phase (3–6 months, sometimes longer):</w:t>
      </w:r>
    </w:p>
    <w:p xmlns:wp14="http://schemas.microsoft.com/office/word/2010/wordml" w:rsidP="156A45D5" wp14:paraId="35670702" wp14:textId="3BDC2EA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Trimethoprim-sulfamethoxazole (TMP-SMX)</w:t>
      </w: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 (± doxycycline).</w:t>
      </w:r>
    </w:p>
    <w:p xmlns:wp14="http://schemas.microsoft.com/office/word/2010/wordml" w:rsidP="156A45D5" wp14:paraId="24C1602F" wp14:textId="44BF86A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Monitor renal/hepatic function, cytopenias.</w:t>
      </w:r>
    </w:p>
    <w:p xmlns:wp14="http://schemas.microsoft.com/office/word/2010/wordml" w:rsidP="156A45D5" wp14:paraId="52731031" wp14:textId="750C678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Doxycycline or amox-clav if TMP-SMX contraindicated.</w:t>
      </w:r>
    </w:p>
    <w:p xmlns:wp14="http://schemas.microsoft.com/office/word/2010/wordml" w:rsidP="156A45D5" wp14:paraId="260909FC" wp14:textId="3B142D0C">
      <w:pPr>
        <w:spacing w:before="240" w:beforeAutospacing="off" w:after="240" w:afterAutospacing="off"/>
      </w:pPr>
      <w:r w:rsidRPr="156A45D5" w:rsidR="51DA1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Adjuncts</w:t>
      </w:r>
    </w:p>
    <w:p xmlns:wp14="http://schemas.microsoft.com/office/word/2010/wordml" w:rsidP="156A45D5" wp14:paraId="29C2388D" wp14:textId="4059312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Drainage of abscesses critical.</w:t>
      </w:r>
    </w:p>
    <w:p xmlns:wp14="http://schemas.microsoft.com/office/word/2010/wordml" w:rsidP="247C8540" wp14:paraId="52F61567" wp14:textId="2F32CAE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7C8540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Supportive ICU care.</w:t>
      </w:r>
    </w:p>
    <w:p xmlns:wp14="http://schemas.microsoft.com/office/word/2010/wordml" w:rsidP="62E13F62" wp14:paraId="5AE8160E" wp14:textId="0089E55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62E13F62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Key Points for </w:t>
      </w:r>
      <w:r w:rsidRPr="62E13F62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Ex</w:t>
      </w:r>
      <w:r w:rsidRPr="62E13F62" w:rsidR="667090A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a</w:t>
      </w:r>
      <w:r w:rsidRPr="62E13F62" w:rsidR="51DA13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ms</w:t>
      </w:r>
    </w:p>
    <w:p xmlns:wp14="http://schemas.microsoft.com/office/word/2010/wordml" w:rsidP="156A45D5" wp14:paraId="78BB7B19" wp14:textId="10DBBED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Endemic tropical infection, environmental reservoir.</w:t>
      </w:r>
    </w:p>
    <w:p xmlns:wp14="http://schemas.microsoft.com/office/word/2010/wordml" w:rsidP="156A45D5" wp14:paraId="5B3B2DD4" wp14:textId="3A0805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Diabetes = strongest risk factor.</w:t>
      </w:r>
    </w:p>
    <w:p xmlns:wp14="http://schemas.microsoft.com/office/word/2010/wordml" w:rsidP="156A45D5" wp14:paraId="7AFC75D9" wp14:textId="5E270BE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Presents as sepsis, pneumonia, or chronic TB-like illness; multiple abscesses typical.</w:t>
      </w:r>
    </w:p>
    <w:p xmlns:wp14="http://schemas.microsoft.com/office/word/2010/wordml" w:rsidP="156A45D5" wp14:paraId="4BA19AC7" wp14:textId="5F3714F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Culture diagnosis, but mis-ID is common.</w:t>
      </w:r>
    </w:p>
    <w:p xmlns:wp14="http://schemas.microsoft.com/office/word/2010/wordml" w:rsidP="156A45D5" wp14:paraId="3AC00C5F" wp14:textId="7360027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Requires prolonged two-phase therapy (IV ceftazidime/meropenem → oral TMP-SMX).</w:t>
      </w:r>
    </w:p>
    <w:p xmlns:wp14="http://schemas.microsoft.com/office/word/2010/wordml" w:rsidP="156A45D5" wp14:paraId="739C489E" wp14:textId="74ACF7A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56A45D5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High relapse/mortality if inadequately treated.</w:t>
      </w:r>
    </w:p>
    <w:p xmlns:wp14="http://schemas.microsoft.com/office/word/2010/wordml" w:rsidP="62E13F62" wp14:paraId="5E5787A5" wp14:textId="341089B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2E13F62" w:rsidR="51DA130B">
        <w:rPr>
          <w:rFonts w:ascii="Aptos" w:hAnsi="Aptos" w:eastAsia="Aptos" w:cs="Aptos"/>
          <w:noProof w:val="0"/>
          <w:sz w:val="24"/>
          <w:szCs w:val="24"/>
          <w:lang w:val="en-GB"/>
        </w:rPr>
        <w:t>Hazard Group 3, risk of lab-acquired infection.</w:t>
      </w:r>
    </w:p>
    <w:sectPr>
      <w:pgSz w:w="11906" w:h="16838" w:orient="portrait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1da7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196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7c3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782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c82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a2a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aa5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a32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A601E"/>
    <w:rsid w:val="06F6A06E"/>
    <w:rsid w:val="156A45D5"/>
    <w:rsid w:val="240A237E"/>
    <w:rsid w:val="247C8540"/>
    <w:rsid w:val="2C8A601E"/>
    <w:rsid w:val="380097A8"/>
    <w:rsid w:val="41970565"/>
    <w:rsid w:val="51DA130B"/>
    <w:rsid w:val="563EB33B"/>
    <w:rsid w:val="62E13F62"/>
    <w:rsid w:val="667090AA"/>
    <w:rsid w:val="6AB6F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01E"/>
  <w15:chartTrackingRefBased/>
  <w15:docId w15:val="{69727353-CB60-4063-B278-9BCD1E8AE9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56A45D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156A45D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56A45D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87d1d03ebc46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5</revision>
  <dcterms:created xsi:type="dcterms:W3CDTF">2025-08-27T13:53:57.3515069Z</dcterms:created>
  <dcterms:modified xsi:type="dcterms:W3CDTF">2025-10-07T08:17:02.1706697Z</dcterms:modified>
</coreProperties>
</file>