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FEE" w:rsidP="43F0F85D" w:rsidRDefault="010B246F" w14:paraId="715354BB" w14:textId="43BE9BA0">
      <w:pPr>
        <w:spacing w:before="240" w:after="240"/>
      </w:pPr>
      <w:proofErr w:type="spellStart"/>
      <w:r w:rsidRPr="43F0F85D">
        <w:rPr>
          <w:rFonts w:ascii="Aptos" w:hAnsi="Aptos" w:eastAsia="Aptos" w:cs="Aptos"/>
          <w:b/>
          <w:bCs/>
        </w:rPr>
        <w:t>FRCPath</w:t>
      </w:r>
      <w:proofErr w:type="spellEnd"/>
      <w:r w:rsidRPr="43F0F85D">
        <w:rPr>
          <w:rFonts w:ascii="Aptos" w:hAnsi="Aptos" w:eastAsia="Aptos" w:cs="Aptos"/>
          <w:b/>
          <w:bCs/>
        </w:rPr>
        <w:t xml:space="preserve"> Part 2 Revision Notes – </w:t>
      </w:r>
      <w:r w:rsidRPr="43F0F85D">
        <w:rPr>
          <w:rFonts w:ascii="Aptos" w:hAnsi="Aptos" w:eastAsia="Aptos" w:cs="Aptos"/>
          <w:b/>
          <w:bCs/>
          <w:i/>
          <w:iCs/>
        </w:rPr>
        <w:t>Mycobacterium</w:t>
      </w:r>
      <w:r w:rsidRPr="43F0F85D">
        <w:rPr>
          <w:rFonts w:ascii="Aptos" w:hAnsi="Aptos" w:eastAsia="Aptos" w:cs="Aptos"/>
        </w:rPr>
        <w:t xml:space="preserve"> </w:t>
      </w:r>
      <w:r w:rsidRPr="43F0F85D">
        <w:rPr>
          <w:rFonts w:ascii="Aptos" w:hAnsi="Aptos" w:eastAsia="Aptos" w:cs="Aptos"/>
          <w:i/>
          <w:iCs/>
        </w:rPr>
        <w:t>(Integrated from UK‑SMI B 40 i7.3, ATS/ERS/ESCMID/IDSA 2020, BTS 2017, WHO TB Consolidated Guidelines 2024/25, NICE NG33 2024, CLSI M24‑A4 2024, UKHSA WGS &amp; TB Action Plan)</w:t>
      </w:r>
    </w:p>
    <w:p w:rsidR="00FF3FEE" w:rsidP="43F0F85D" w:rsidRDefault="00FF3FEE" w14:paraId="2414A57C" w14:textId="30FFC6AF">
      <w:pPr>
        <w:spacing w:after="0"/>
      </w:pPr>
    </w:p>
    <w:p w:rsidR="00FF3FEE" w:rsidP="43F0F85D" w:rsidRDefault="010B246F" w14:paraId="5EF585B2" w14:textId="0EA00B32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1  Taxonomy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&amp; Key Pathogens</w:t>
      </w:r>
    </w:p>
    <w:tbl>
      <w:tblPr>
        <w:tblW w:w="15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551"/>
        <w:gridCol w:w="2976"/>
        <w:gridCol w:w="3122"/>
        <w:gridCol w:w="3118"/>
        <w:gridCol w:w="3826"/>
      </w:tblGrid>
      <w:tr w:rsidRPr="00D2017E" w:rsidR="003E5C9D" w:rsidTr="003E5C9D" w14:paraId="005A646F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75DBAC1C" w14:textId="0481E663">
            <w:pPr>
              <w:spacing w:after="0"/>
              <w:jc w:val="center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Runyon</w:t>
            </w:r>
          </w:p>
        </w:tc>
        <w:tc>
          <w:tcPr>
            <w:tcW w:w="2972" w:type="dxa"/>
            <w:vAlign w:val="center"/>
          </w:tcPr>
          <w:p w:rsidRPr="00D2017E" w:rsidR="43F0F85D" w:rsidP="43F0F85D" w:rsidRDefault="43F0F85D" w14:paraId="130EB528" w14:textId="60420E15">
            <w:pPr>
              <w:spacing w:after="0"/>
              <w:jc w:val="center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Growth rate / Pigment</w:t>
            </w:r>
          </w:p>
        </w:tc>
        <w:tc>
          <w:tcPr>
            <w:tcW w:w="3123" w:type="dxa"/>
            <w:vAlign w:val="center"/>
          </w:tcPr>
          <w:p w:rsidRPr="00D2017E" w:rsidR="43F0F85D" w:rsidP="43F0F85D" w:rsidRDefault="43F0F85D" w14:paraId="4A07F65B" w14:textId="203F723E">
            <w:pPr>
              <w:spacing w:after="0"/>
              <w:jc w:val="center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Representative species</w:t>
            </w:r>
          </w:p>
        </w:tc>
        <w:tc>
          <w:tcPr>
            <w:tcW w:w="3119" w:type="dxa"/>
            <w:vAlign w:val="center"/>
          </w:tcPr>
          <w:p w:rsidRPr="00D2017E" w:rsidR="43F0F85D" w:rsidP="43F0F85D" w:rsidRDefault="43F0F85D" w14:paraId="340F003D" w14:textId="2A3EF6A0">
            <w:pPr>
              <w:spacing w:after="0"/>
              <w:jc w:val="center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Typical disease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5C3EE741" w14:textId="12B1CA22">
            <w:pPr>
              <w:spacing w:after="0"/>
              <w:jc w:val="center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Exam pearls</w:t>
            </w:r>
          </w:p>
        </w:tc>
      </w:tr>
      <w:tr w:rsidRPr="00D2017E" w:rsidR="003E5C9D" w:rsidTr="00D2017E" w14:paraId="34634E75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5ED8F287" w14:textId="68FB7C72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I Photochromogens</w:t>
            </w:r>
          </w:p>
        </w:tc>
        <w:tc>
          <w:tcPr>
            <w:tcW w:w="2977" w:type="dxa"/>
            <w:vAlign w:val="center"/>
          </w:tcPr>
          <w:p w:rsidRPr="00D2017E" w:rsidR="43F0F85D" w:rsidP="43F0F85D" w:rsidRDefault="43F0F85D" w14:paraId="221802F7" w14:textId="537E6EDD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Slow, yellow‑orange after light</w:t>
            </w:r>
          </w:p>
        </w:tc>
        <w:tc>
          <w:tcPr>
            <w:tcW w:w="3118" w:type="dxa"/>
            <w:vAlign w:val="center"/>
          </w:tcPr>
          <w:p w:rsidR="001A743E" w:rsidP="43F0F85D" w:rsidRDefault="43F0F85D" w14:paraId="2AA0FDF8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 xml:space="preserve">M. 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kansasii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Pr="00D2017E" w:rsidR="43F0F85D" w:rsidP="43F0F85D" w:rsidRDefault="43F0F85D" w14:paraId="6F9A79B7" w14:textId="05084DE5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m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arinum</w:t>
            </w:r>
            <w:proofErr w:type="spellEnd"/>
          </w:p>
        </w:tc>
        <w:tc>
          <w:tcPr>
            <w:tcW w:w="3119" w:type="dxa"/>
            <w:vAlign w:val="center"/>
          </w:tcPr>
          <w:p w:rsidRPr="00D2017E" w:rsidR="43F0F85D" w:rsidP="43F0F85D" w:rsidRDefault="43F0F85D" w14:paraId="3C17A8B3" w14:textId="345A3303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Pulmonary cavitary (</w:t>
            </w:r>
            <w:proofErr w:type="spellStart"/>
            <w:r w:rsidRPr="00D2017E">
              <w:rPr>
                <w:sz w:val="20"/>
                <w:szCs w:val="20"/>
              </w:rPr>
              <w:t>kansasii</w:t>
            </w:r>
            <w:proofErr w:type="spellEnd"/>
            <w:r w:rsidRPr="00D2017E">
              <w:rPr>
                <w:sz w:val="20"/>
                <w:szCs w:val="20"/>
              </w:rPr>
              <w:t>); fish‑tank granuloma (</w:t>
            </w:r>
            <w:proofErr w:type="spellStart"/>
            <w:r w:rsidRPr="00D2017E">
              <w:rPr>
                <w:sz w:val="20"/>
                <w:szCs w:val="20"/>
              </w:rPr>
              <w:t>marinum</w:t>
            </w:r>
            <w:proofErr w:type="spellEnd"/>
            <w:r w:rsidRPr="00D2017E">
              <w:rPr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3C343CC9" w14:textId="2DAEFD7C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 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kansasii</w:t>
            </w:r>
            <w:proofErr w:type="spellEnd"/>
            <w:r w:rsidRPr="00D2017E">
              <w:rPr>
                <w:sz w:val="20"/>
                <w:szCs w:val="20"/>
              </w:rPr>
              <w:t xml:space="preserve"> </w:t>
            </w:r>
            <w:proofErr w:type="spellStart"/>
            <w:r w:rsidRPr="00D2017E">
              <w:rPr>
                <w:sz w:val="20"/>
                <w:szCs w:val="20"/>
              </w:rPr>
              <w:t>rif</w:t>
            </w:r>
            <w:proofErr w:type="spellEnd"/>
            <w:r w:rsidRPr="00D2017E">
              <w:rPr>
                <w:sz w:val="20"/>
                <w:szCs w:val="20"/>
              </w:rPr>
              <w:t>‑susceptible, niacin‑neg</w:t>
            </w:r>
          </w:p>
        </w:tc>
      </w:tr>
      <w:tr w:rsidRPr="00D2017E" w:rsidR="003E5C9D" w:rsidTr="00D2017E" w14:paraId="1BAAA45F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24A44A33" w14:textId="0C9B0C0B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 xml:space="preserve">II </w:t>
            </w:r>
            <w:proofErr w:type="spellStart"/>
            <w:r w:rsidRPr="00D2017E">
              <w:rPr>
                <w:b/>
                <w:bCs/>
                <w:sz w:val="20"/>
                <w:szCs w:val="20"/>
              </w:rPr>
              <w:t>Scotochromogens</w:t>
            </w:r>
            <w:proofErr w:type="spellEnd"/>
          </w:p>
        </w:tc>
        <w:tc>
          <w:tcPr>
            <w:tcW w:w="2977" w:type="dxa"/>
            <w:vAlign w:val="center"/>
          </w:tcPr>
          <w:p w:rsidRPr="00D2017E" w:rsidR="43F0F85D" w:rsidP="43F0F85D" w:rsidRDefault="43F0F85D" w14:paraId="2D442593" w14:textId="5DB90903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Slow, pigment in dark</w:t>
            </w:r>
          </w:p>
        </w:tc>
        <w:tc>
          <w:tcPr>
            <w:tcW w:w="3118" w:type="dxa"/>
            <w:vAlign w:val="center"/>
          </w:tcPr>
          <w:p w:rsidR="0009735E" w:rsidP="43F0F85D" w:rsidRDefault="0009735E" w14:paraId="638EB9AC" w14:textId="7C2CD008">
            <w:pPr>
              <w:spacing w:after="0"/>
              <w:rPr>
                <w:i/>
                <w:iCs/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 xml:space="preserve">M. 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gordonae</w:t>
            </w:r>
            <w:proofErr w:type="spellEnd"/>
          </w:p>
          <w:p w:rsidRPr="00D2017E" w:rsidR="43F0F85D" w:rsidP="43F0F85D" w:rsidRDefault="43F0F85D" w14:paraId="348D2060" w14:textId="3EBE3559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s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crofulaceum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119" w:type="dxa"/>
            <w:vAlign w:val="center"/>
          </w:tcPr>
          <w:p w:rsidR="0009735E" w:rsidP="43F0F85D" w:rsidRDefault="0009735E" w14:paraId="66D431B1" w14:textId="498EF46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2017E">
              <w:rPr>
                <w:sz w:val="20"/>
                <w:szCs w:val="20"/>
              </w:rPr>
              <w:t>ontaminant (</w:t>
            </w:r>
            <w:proofErr w:type="spellStart"/>
            <w:r w:rsidRPr="00D2017E">
              <w:rPr>
                <w:sz w:val="20"/>
                <w:szCs w:val="20"/>
              </w:rPr>
              <w:t>gordonae</w:t>
            </w:r>
            <w:proofErr w:type="spellEnd"/>
            <w:r w:rsidRPr="00D2017E">
              <w:rPr>
                <w:sz w:val="20"/>
                <w:szCs w:val="20"/>
              </w:rPr>
              <w:t>)</w:t>
            </w:r>
          </w:p>
          <w:p w:rsidRPr="00D2017E" w:rsidR="43F0F85D" w:rsidP="43F0F85D" w:rsidRDefault="43F0F85D" w14:paraId="65B84949" w14:textId="0646D7DF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Cervical nodes (</w:t>
            </w:r>
            <w:proofErr w:type="spellStart"/>
            <w:r w:rsidRPr="00D2017E">
              <w:rPr>
                <w:sz w:val="20"/>
                <w:szCs w:val="20"/>
              </w:rPr>
              <w:t>scrofulaceum</w:t>
            </w:r>
            <w:proofErr w:type="spellEnd"/>
            <w:r w:rsidRPr="00D2017E">
              <w:rPr>
                <w:sz w:val="20"/>
                <w:szCs w:val="20"/>
              </w:rPr>
              <w:t xml:space="preserve">); 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718C4524" w14:textId="162C09F6">
            <w:pPr>
              <w:spacing w:after="0"/>
              <w:rPr>
                <w:sz w:val="20"/>
                <w:szCs w:val="20"/>
              </w:rPr>
            </w:pPr>
            <w:proofErr w:type="spellStart"/>
            <w:r w:rsidRPr="00D2017E">
              <w:rPr>
                <w:sz w:val="20"/>
                <w:szCs w:val="20"/>
              </w:rPr>
              <w:t>Gordonae</w:t>
            </w:r>
            <w:proofErr w:type="spellEnd"/>
            <w:r w:rsidRPr="00D2017E">
              <w:rPr>
                <w:sz w:val="20"/>
                <w:szCs w:val="20"/>
              </w:rPr>
              <w:t xml:space="preserve"> = “tap‑water” bacillus</w:t>
            </w:r>
          </w:p>
        </w:tc>
      </w:tr>
      <w:tr w:rsidRPr="00D2017E" w:rsidR="003E5C9D" w:rsidTr="00D2017E" w14:paraId="0F32A942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54527B39" w14:textId="36ABC5C9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III Non‑photochromogens</w:t>
            </w:r>
          </w:p>
        </w:tc>
        <w:tc>
          <w:tcPr>
            <w:tcW w:w="2977" w:type="dxa"/>
            <w:vAlign w:val="center"/>
          </w:tcPr>
          <w:p w:rsidRPr="00D2017E" w:rsidR="43F0F85D" w:rsidP="43F0F85D" w:rsidRDefault="43F0F85D" w14:paraId="6F24C6FD" w14:textId="19A546A6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Slow, non‑pigmented</w:t>
            </w:r>
          </w:p>
        </w:tc>
        <w:tc>
          <w:tcPr>
            <w:tcW w:w="3118" w:type="dxa"/>
            <w:vAlign w:val="center"/>
          </w:tcPr>
          <w:p w:rsidR="001A743E" w:rsidP="43F0F85D" w:rsidRDefault="43F0F85D" w14:paraId="6ED0F70E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avium</w:t>
            </w:r>
            <w:r w:rsidRPr="00D2017E">
              <w:rPr>
                <w:sz w:val="20"/>
                <w:szCs w:val="20"/>
              </w:rPr>
              <w:t xml:space="preserve"> complex, </w:t>
            </w:r>
          </w:p>
          <w:p w:rsidR="00966E46" w:rsidP="43F0F85D" w:rsidRDefault="43F0F85D" w14:paraId="37487CA7" w14:textId="03A512DA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x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enopi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Pr="00D2017E" w:rsidR="43F0F85D" w:rsidP="43F0F85D" w:rsidRDefault="43F0F85D" w14:paraId="06BF596C" w14:textId="3F22DB6B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h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aemophilum</w:t>
            </w:r>
            <w:proofErr w:type="spellEnd"/>
          </w:p>
        </w:tc>
        <w:tc>
          <w:tcPr>
            <w:tcW w:w="3119" w:type="dxa"/>
            <w:vAlign w:val="center"/>
          </w:tcPr>
          <w:p w:rsidR="008D0DE0" w:rsidP="43F0F85D" w:rsidRDefault="43F0F85D" w14:paraId="7B47651D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Chronic lung, disseminated AIDS (MAC</w:t>
            </w:r>
            <w:proofErr w:type="gramStart"/>
            <w:r w:rsidRPr="00D2017E">
              <w:rPr>
                <w:sz w:val="20"/>
                <w:szCs w:val="20"/>
              </w:rPr>
              <w:t>);</w:t>
            </w:r>
            <w:proofErr w:type="gramEnd"/>
          </w:p>
          <w:p w:rsidR="008D0DE0" w:rsidP="43F0F85D" w:rsidRDefault="43F0F85D" w14:paraId="610853AE" w14:textId="177F18D9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nodular bronchiectasis (</w:t>
            </w:r>
            <w:proofErr w:type="spellStart"/>
            <w:r w:rsidRPr="00D2017E">
              <w:rPr>
                <w:sz w:val="20"/>
                <w:szCs w:val="20"/>
              </w:rPr>
              <w:t>xenopi</w:t>
            </w:r>
            <w:proofErr w:type="spellEnd"/>
            <w:proofErr w:type="gramStart"/>
            <w:r w:rsidRPr="00D2017E">
              <w:rPr>
                <w:sz w:val="20"/>
                <w:szCs w:val="20"/>
              </w:rPr>
              <w:t>)</w:t>
            </w:r>
            <w:r w:rsidR="008D0DE0">
              <w:rPr>
                <w:sz w:val="20"/>
                <w:szCs w:val="20"/>
              </w:rPr>
              <w:t>;</w:t>
            </w:r>
            <w:proofErr w:type="gramEnd"/>
            <w:r w:rsidR="008D0DE0">
              <w:rPr>
                <w:sz w:val="20"/>
                <w:szCs w:val="20"/>
              </w:rPr>
              <w:t xml:space="preserve"> </w:t>
            </w:r>
          </w:p>
          <w:p w:rsidRPr="00D2017E" w:rsidR="43F0F85D" w:rsidP="43F0F85D" w:rsidRDefault="008D0DE0" w14:paraId="6248A754" w14:textId="7CFF165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skin (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haemophilum</w:t>
            </w:r>
            <w:proofErr w:type="spellEnd"/>
            <w:r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060F1BBB" w14:textId="4960241E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 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haemophilum</w:t>
            </w:r>
            <w:proofErr w:type="spellEnd"/>
            <w:r w:rsidRPr="00D2017E">
              <w:rPr>
                <w:sz w:val="20"/>
                <w:szCs w:val="20"/>
              </w:rPr>
              <w:t xml:space="preserve"> grows at 30 °C with Fe³⁺</w:t>
            </w:r>
          </w:p>
        </w:tc>
      </w:tr>
      <w:tr w:rsidRPr="00D2017E" w:rsidR="003E5C9D" w:rsidTr="00D2017E" w14:paraId="65DD06E2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2CF51682" w14:textId="174A62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IV Rapid growers</w:t>
            </w:r>
          </w:p>
        </w:tc>
        <w:tc>
          <w:tcPr>
            <w:tcW w:w="2977" w:type="dxa"/>
            <w:vAlign w:val="center"/>
          </w:tcPr>
          <w:p w:rsidRPr="00D2017E" w:rsidR="43F0F85D" w:rsidP="43F0F85D" w:rsidRDefault="43F0F85D" w14:paraId="43AD9DC0" w14:textId="7F058829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Colonies ≤7 d</w:t>
            </w:r>
          </w:p>
        </w:tc>
        <w:tc>
          <w:tcPr>
            <w:tcW w:w="3118" w:type="dxa"/>
            <w:vAlign w:val="center"/>
          </w:tcPr>
          <w:p w:rsidR="00FE2AD6" w:rsidP="43F0F85D" w:rsidRDefault="43F0F85D" w14:paraId="1E99DDFA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 xml:space="preserve">M. 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abscessus</w:t>
            </w:r>
            <w:proofErr w:type="spellEnd"/>
            <w:r w:rsidRPr="00D2017E">
              <w:rPr>
                <w:sz w:val="20"/>
                <w:szCs w:val="20"/>
              </w:rPr>
              <w:t xml:space="preserve"> complex, </w:t>
            </w:r>
          </w:p>
          <w:p w:rsidR="001A743E" w:rsidP="43F0F85D" w:rsidRDefault="43F0F85D" w14:paraId="78CDA0F7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f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ortuitum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Pr="00D2017E" w:rsidR="43F0F85D" w:rsidP="43F0F85D" w:rsidRDefault="43F0F85D" w14:paraId="09B1627F" w14:textId="03E81080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c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helonae</w:t>
            </w:r>
            <w:proofErr w:type="spellEnd"/>
          </w:p>
        </w:tc>
        <w:tc>
          <w:tcPr>
            <w:tcW w:w="3119" w:type="dxa"/>
            <w:vAlign w:val="center"/>
          </w:tcPr>
          <w:p w:rsidRPr="00D2017E" w:rsidR="43F0F85D" w:rsidP="43F0F85D" w:rsidRDefault="43F0F85D" w14:paraId="615CB170" w14:textId="24F4D2A4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SSTI, CF bronchiectasis, device infections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3D6ACF43" w14:textId="3A488DAC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 xml:space="preserve">Check </w:t>
            </w:r>
            <w:proofErr w:type="gramStart"/>
            <w:r w:rsidRPr="00D2017E">
              <w:rPr>
                <w:b/>
                <w:bCs/>
                <w:sz w:val="20"/>
                <w:szCs w:val="20"/>
              </w:rPr>
              <w:t>erm(</w:t>
            </w:r>
            <w:proofErr w:type="gramEnd"/>
            <w:r w:rsidRPr="00D2017E">
              <w:rPr>
                <w:b/>
                <w:bCs/>
                <w:sz w:val="20"/>
                <w:szCs w:val="20"/>
              </w:rPr>
              <w:t>41)</w:t>
            </w:r>
            <w:r w:rsidRPr="00D2017E">
              <w:rPr>
                <w:sz w:val="20"/>
                <w:szCs w:val="20"/>
              </w:rPr>
              <w:t xml:space="preserve"> for inducible macrolide R</w:t>
            </w:r>
          </w:p>
        </w:tc>
      </w:tr>
      <w:tr w:rsidRPr="00D2017E" w:rsidR="003E5C9D" w:rsidTr="00D2017E" w14:paraId="47C45C5A" w14:textId="77777777">
        <w:trPr>
          <w:trHeight w:val="300"/>
        </w:trPr>
        <w:tc>
          <w:tcPr>
            <w:tcW w:w="2552" w:type="dxa"/>
            <w:vAlign w:val="center"/>
          </w:tcPr>
          <w:p w:rsidRPr="00D2017E" w:rsidR="43F0F85D" w:rsidP="43F0F85D" w:rsidRDefault="43F0F85D" w14:paraId="5FDB08AB" w14:textId="5655D2C6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b/>
                <w:bCs/>
                <w:sz w:val="20"/>
                <w:szCs w:val="20"/>
              </w:rPr>
              <w:t>MTB complex</w:t>
            </w:r>
          </w:p>
        </w:tc>
        <w:tc>
          <w:tcPr>
            <w:tcW w:w="2977" w:type="dxa"/>
            <w:vAlign w:val="center"/>
          </w:tcPr>
          <w:p w:rsidRPr="00D2017E" w:rsidR="43F0F85D" w:rsidP="43F0F85D" w:rsidRDefault="43F0F85D" w14:paraId="470363D3" w14:textId="6D6E521D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Slow, non‑pigmented</w:t>
            </w:r>
          </w:p>
        </w:tc>
        <w:tc>
          <w:tcPr>
            <w:tcW w:w="3118" w:type="dxa"/>
            <w:vAlign w:val="center"/>
          </w:tcPr>
          <w:p w:rsidR="001A743E" w:rsidP="43F0F85D" w:rsidRDefault="43F0F85D" w14:paraId="4B341A52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tuberculosis</w:t>
            </w:r>
            <w:r w:rsidRPr="00D2017E">
              <w:rPr>
                <w:sz w:val="20"/>
                <w:szCs w:val="20"/>
              </w:rPr>
              <w:t xml:space="preserve">, </w:t>
            </w:r>
          </w:p>
          <w:p w:rsidR="001A743E" w:rsidP="43F0F85D" w:rsidRDefault="43F0F85D" w14:paraId="1687BF31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b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ovis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="001A743E" w:rsidP="43F0F85D" w:rsidRDefault="43F0F85D" w14:paraId="5479CCE3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a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fricanum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="001A743E" w:rsidP="43F0F85D" w:rsidRDefault="43F0F85D" w14:paraId="644D48A0" w14:textId="77777777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c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anettii</w:t>
            </w:r>
            <w:proofErr w:type="spellEnd"/>
            <w:r w:rsidRPr="00D2017E">
              <w:rPr>
                <w:sz w:val="20"/>
                <w:szCs w:val="20"/>
              </w:rPr>
              <w:t xml:space="preserve">, </w:t>
            </w:r>
          </w:p>
          <w:p w:rsidRPr="00D2017E" w:rsidR="43F0F85D" w:rsidP="43F0F85D" w:rsidRDefault="43F0F85D" w14:paraId="14C1F45C" w14:textId="5FB600E5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i/>
                <w:iCs/>
                <w:sz w:val="20"/>
                <w:szCs w:val="20"/>
              </w:rPr>
              <w:t>M. c</w:t>
            </w:r>
            <w:proofErr w:type="spellStart"/>
            <w:r w:rsidRPr="00D2017E">
              <w:rPr>
                <w:i/>
                <w:iCs/>
                <w:sz w:val="20"/>
                <w:szCs w:val="20"/>
              </w:rPr>
              <w:t>aprae</w:t>
            </w:r>
            <w:proofErr w:type="spellEnd"/>
          </w:p>
        </w:tc>
        <w:tc>
          <w:tcPr>
            <w:tcW w:w="3119" w:type="dxa"/>
            <w:vAlign w:val="center"/>
          </w:tcPr>
          <w:p w:rsidRPr="00D2017E" w:rsidR="43F0F85D" w:rsidP="43F0F85D" w:rsidRDefault="43F0F85D" w14:paraId="336E7105" w14:textId="48522C59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Pulmonary &amp; extra‑pulmonary TB</w:t>
            </w:r>
          </w:p>
        </w:tc>
        <w:tc>
          <w:tcPr>
            <w:tcW w:w="3827" w:type="dxa"/>
            <w:vAlign w:val="center"/>
          </w:tcPr>
          <w:p w:rsidRPr="00D2017E" w:rsidR="43F0F85D" w:rsidP="43F0F85D" w:rsidRDefault="43F0F85D" w14:paraId="11B3C954" w14:textId="622A5BC6">
            <w:pPr>
              <w:spacing w:after="0"/>
              <w:rPr>
                <w:sz w:val="20"/>
                <w:szCs w:val="20"/>
              </w:rPr>
            </w:pPr>
            <w:r w:rsidRPr="00D2017E">
              <w:rPr>
                <w:sz w:val="20"/>
                <w:szCs w:val="20"/>
              </w:rPr>
              <w:t>Niacin +/-, NAP inhibited</w:t>
            </w:r>
          </w:p>
        </w:tc>
      </w:tr>
    </w:tbl>
    <w:p w:rsidR="00FF3FEE" w:rsidP="43F0F85D" w:rsidRDefault="00FF3FEE" w14:paraId="70C363E4" w14:textId="6F3BE3FB">
      <w:pPr>
        <w:spacing w:after="0"/>
      </w:pPr>
    </w:p>
    <w:p w:rsidR="00FF3FEE" w:rsidRDefault="00C2428C" w14:paraId="7517C02A" w14:textId="1B9204D2">
      <w:r>
        <w:br w:type="page"/>
      </w:r>
    </w:p>
    <w:p w:rsidR="00DA3427" w:rsidP="43F0F85D" w:rsidRDefault="00DA3427" w14:paraId="6E8ABF25" w14:textId="77777777">
      <w:pPr>
        <w:pStyle w:val="Heading2"/>
        <w:spacing w:before="299" w:after="299"/>
        <w:rPr>
          <w:rFonts w:ascii="Aptos" w:hAnsi="Aptos" w:eastAsia="Aptos" w:cs="Aptos"/>
          <w:b/>
          <w:bCs/>
          <w:sz w:val="36"/>
          <w:szCs w:val="36"/>
        </w:rPr>
        <w:sectPr w:rsidR="00DA3427" w:rsidSect="00DA3427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F3FEE" w:rsidP="43F0F85D" w:rsidRDefault="010B246F" w14:paraId="5BD92116" w14:textId="1B945B21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lastRenderedPageBreak/>
        <w:t>2  Biosafety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&amp; Infection‑control</w:t>
      </w:r>
    </w:p>
    <w:p w:rsidR="00FF3FEE" w:rsidP="43F0F85D" w:rsidRDefault="010B246F" w14:paraId="7DAA7D67" w14:textId="0858FF1C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Hazard Group 3 (ACDP) for MTBC and most NTMs – work in CL3 if aerosol‑generating (smear prep, MGIT positives).</w:t>
      </w:r>
    </w:p>
    <w:p w:rsidR="00FF3FEE" w:rsidP="43F0F85D" w:rsidRDefault="010B246F" w14:paraId="79DBFB91" w14:textId="63E88076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Class II MSC, sealed buckets ≥3000 g 15 min, negative‑pressure rooms for induced sputum.</w:t>
      </w:r>
    </w:p>
    <w:p w:rsidR="00FF3FEE" w:rsidP="43F0F85D" w:rsidRDefault="010B246F" w14:paraId="74F45A5F" w14:textId="45745CBC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Decontaminate work surfaces with 1 % hypochlorite (10 000 ppm) or 70 % ethanol followed by UV.</w:t>
      </w:r>
    </w:p>
    <w:p w:rsidR="00FF3FEE" w:rsidP="43F0F85D" w:rsidRDefault="00FF3FEE" w14:paraId="7CBA73AB" w14:textId="316F4C11">
      <w:pPr>
        <w:spacing w:after="0"/>
      </w:pPr>
    </w:p>
    <w:p w:rsidR="00FF3FEE" w:rsidP="43F0F85D" w:rsidRDefault="010B246F" w14:paraId="6ECA2066" w14:textId="782FEB80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3  Specimen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Collection &amp; Transport</w:t>
      </w:r>
    </w:p>
    <w:tbl>
      <w:tblPr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4678"/>
        <w:gridCol w:w="5639"/>
      </w:tblGrid>
      <w:tr w:rsidRPr="00173BC6" w:rsidR="43F0F85D" w:rsidTr="00173BC6" w14:paraId="26FEF599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6A55A24A" w14:textId="3ECCC2DE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Specimen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502AAD7F" w14:textId="32F88EB2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Points</w:t>
            </w:r>
          </w:p>
        </w:tc>
      </w:tr>
      <w:tr w:rsidRPr="00173BC6" w:rsidR="43F0F85D" w:rsidTr="00173BC6" w14:paraId="43C5C03A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1376ACE7" w14:textId="51EA37D7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Sputum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65AFE234" w14:textId="7AEDFD6A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≥2 (ideally 3) early‑morning, 5 mL, tight‑lidded pot.</w:t>
            </w:r>
          </w:p>
        </w:tc>
      </w:tr>
      <w:tr w:rsidRPr="00173BC6" w:rsidR="43F0F85D" w:rsidTr="00173BC6" w14:paraId="513C8D68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1DA4AD22" w14:textId="3B75ADF6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BAL / washings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25B6369B" w14:textId="45F1E226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For smear‑neg or non‑productive; avoid tap‑water contamination.</w:t>
            </w:r>
          </w:p>
        </w:tc>
      </w:tr>
      <w:tr w:rsidRPr="00173BC6" w:rsidR="43F0F85D" w:rsidTr="00173BC6" w14:paraId="02616022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49FA1DAF" w14:textId="757A61CE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Gastric aspirate (children)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136A55B2" w14:textId="4975C17C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 xml:space="preserve">Neutralise with </w:t>
            </w:r>
            <w:proofErr w:type="spellStart"/>
            <w:r w:rsidRPr="00173BC6">
              <w:rPr>
                <w:sz w:val="20"/>
                <w:szCs w:val="20"/>
              </w:rPr>
              <w:t>Na₂CO</w:t>
            </w:r>
            <w:proofErr w:type="spellEnd"/>
            <w:r w:rsidRPr="00173BC6">
              <w:rPr>
                <w:sz w:val="20"/>
                <w:szCs w:val="20"/>
              </w:rPr>
              <w:t>₃ if delay &gt; 4 h.</w:t>
            </w:r>
          </w:p>
        </w:tc>
      </w:tr>
      <w:tr w:rsidRPr="00173BC6" w:rsidR="43F0F85D" w:rsidTr="00173BC6" w14:paraId="648E3F6F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5E13B512" w14:textId="66B38AC9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Sterile fluids / tissue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59109AB9" w14:textId="44D2F285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No decontamination; send fresh (no formalin).</w:t>
            </w:r>
          </w:p>
        </w:tc>
      </w:tr>
      <w:tr w:rsidRPr="00173BC6" w:rsidR="43F0F85D" w:rsidTr="00173BC6" w14:paraId="49DC9C5E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64A0BEA6" w14:textId="730F90D7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Urine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028D8144" w14:textId="2521C50D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Three consecutive early‑morning, no boric acid.</w:t>
            </w:r>
          </w:p>
        </w:tc>
      </w:tr>
      <w:tr w:rsidRPr="00173BC6" w:rsidR="43F0F85D" w:rsidTr="00173BC6" w14:paraId="0B3F2F4D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22E608E2" w14:textId="5BD48BDF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b/>
                <w:bCs/>
                <w:sz w:val="20"/>
                <w:szCs w:val="20"/>
              </w:rPr>
              <w:t>Blood / bone‑marrow</w:t>
            </w:r>
          </w:p>
        </w:tc>
        <w:tc>
          <w:tcPr>
            <w:tcW w:w="5639" w:type="dxa"/>
            <w:vAlign w:val="center"/>
          </w:tcPr>
          <w:p w:rsidRPr="00173BC6" w:rsidR="43F0F85D" w:rsidP="43F0F85D" w:rsidRDefault="43F0F85D" w14:paraId="554D17EA" w14:textId="434D16C0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 xml:space="preserve">Culture in </w:t>
            </w:r>
            <w:proofErr w:type="spellStart"/>
            <w:r w:rsidRPr="00173BC6">
              <w:rPr>
                <w:sz w:val="20"/>
                <w:szCs w:val="20"/>
              </w:rPr>
              <w:t>Myco</w:t>
            </w:r>
            <w:proofErr w:type="spellEnd"/>
            <w:r w:rsidRPr="00173BC6">
              <w:rPr>
                <w:sz w:val="20"/>
                <w:szCs w:val="20"/>
              </w:rPr>
              <w:t>/F Lytic bottle.</w:t>
            </w:r>
          </w:p>
        </w:tc>
      </w:tr>
      <w:tr w:rsidRPr="00173BC6" w:rsidR="43F0F85D" w:rsidTr="00173BC6" w14:paraId="6D9F655F" w14:textId="77777777">
        <w:trPr>
          <w:trHeight w:val="300"/>
        </w:trPr>
        <w:tc>
          <w:tcPr>
            <w:tcW w:w="4678" w:type="dxa"/>
            <w:vAlign w:val="center"/>
          </w:tcPr>
          <w:p w:rsidRPr="00173BC6" w:rsidR="43F0F85D" w:rsidP="43F0F85D" w:rsidRDefault="43F0F85D" w14:paraId="26D1A859" w14:textId="0A401309">
            <w:pPr>
              <w:spacing w:after="0"/>
              <w:rPr>
                <w:sz w:val="20"/>
                <w:szCs w:val="20"/>
              </w:rPr>
            </w:pPr>
            <w:r w:rsidRPr="00173BC6">
              <w:rPr>
                <w:sz w:val="20"/>
                <w:szCs w:val="20"/>
              </w:rPr>
              <w:t>Transport within 24 h, refrigerate 4 °C if delayed.</w:t>
            </w:r>
          </w:p>
        </w:tc>
        <w:tc>
          <w:tcPr>
            <w:tcW w:w="5639" w:type="dxa"/>
            <w:vAlign w:val="center"/>
          </w:tcPr>
          <w:p w:rsidRPr="00173BC6" w:rsidR="43F0F85D" w:rsidRDefault="43F0F85D" w14:paraId="72492987" w14:textId="29E4A31C">
            <w:pPr>
              <w:rPr>
                <w:sz w:val="20"/>
                <w:szCs w:val="20"/>
              </w:rPr>
            </w:pPr>
          </w:p>
        </w:tc>
      </w:tr>
    </w:tbl>
    <w:p w:rsidR="00FF3FEE" w:rsidP="43F0F85D" w:rsidRDefault="00FF3FEE" w14:paraId="1A593803" w14:textId="2EB01B7D">
      <w:pPr>
        <w:spacing w:after="0"/>
      </w:pPr>
    </w:p>
    <w:p w:rsidR="00FF3FEE" w:rsidP="43F0F85D" w:rsidRDefault="010B246F" w14:paraId="4B511C5D" w14:textId="55523BBF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4  Laboratory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Diagnosis Workflow</w:t>
      </w:r>
    </w:p>
    <w:p w:rsidR="00FF3FEE" w:rsidP="43F0F85D" w:rsidRDefault="010B246F" w14:paraId="18750111" w14:textId="613F2FDF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4.1  Front</w:t>
      </w:r>
      <w:proofErr w:type="gramEnd"/>
      <w:r w:rsidRPr="43F0F85D">
        <w:rPr>
          <w:rFonts w:ascii="Aptos" w:hAnsi="Aptos" w:eastAsia="Aptos" w:cs="Aptos"/>
          <w:b/>
          <w:bCs/>
        </w:rPr>
        <w:t>‑end Molecular Tests</w:t>
      </w:r>
    </w:p>
    <w:p w:rsidR="00FF3FEE" w:rsidP="43F0F85D" w:rsidRDefault="010B246F" w14:paraId="0FB3913F" w14:textId="7C855E3B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Xpert MTB/RIF Ultra</w:t>
      </w:r>
      <w:r w:rsidRPr="43F0F85D">
        <w:rPr>
          <w:rFonts w:ascii="Aptos" w:hAnsi="Aptos" w:eastAsia="Aptos" w:cs="Aptos"/>
        </w:rPr>
        <w:t xml:space="preserve">: </w:t>
      </w:r>
      <w:proofErr w:type="spellStart"/>
      <w:r w:rsidRPr="43F0F85D">
        <w:rPr>
          <w:rFonts w:ascii="Aptos" w:hAnsi="Aptos" w:eastAsia="Aptos" w:cs="Aptos"/>
        </w:rPr>
        <w:t>LoD</w:t>
      </w:r>
      <w:proofErr w:type="spellEnd"/>
      <w:r w:rsidRPr="43F0F85D">
        <w:rPr>
          <w:rFonts w:ascii="Aptos" w:hAnsi="Aptos" w:eastAsia="Aptos" w:cs="Aptos"/>
        </w:rPr>
        <w:t xml:space="preserve"> ~16 CFU/mL; detects </w:t>
      </w:r>
      <w:proofErr w:type="spellStart"/>
      <w:r w:rsidRPr="43F0F85D">
        <w:rPr>
          <w:rFonts w:ascii="Aptos" w:hAnsi="Aptos" w:eastAsia="Aptos" w:cs="Aptos"/>
          <w:i/>
          <w:iCs/>
        </w:rPr>
        <w:t>rpoB</w:t>
      </w:r>
      <w:proofErr w:type="spellEnd"/>
      <w:r w:rsidRPr="43F0F85D">
        <w:rPr>
          <w:rFonts w:ascii="Aptos" w:hAnsi="Aptos" w:eastAsia="Aptos" w:cs="Aptos"/>
        </w:rPr>
        <w:t xml:space="preserve"> Rif R.</w:t>
      </w:r>
    </w:p>
    <w:p w:rsidR="00FF3FEE" w:rsidP="43F0F85D" w:rsidRDefault="010B246F" w14:paraId="1A97ED13" w14:textId="6CA18E49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Xpert MTB/XDR (2023 UK roll‑out)</w:t>
      </w:r>
      <w:r w:rsidRPr="43F0F85D">
        <w:rPr>
          <w:rFonts w:ascii="Aptos" w:hAnsi="Aptos" w:eastAsia="Aptos" w:cs="Aptos"/>
        </w:rPr>
        <w:t xml:space="preserve">: adds </w:t>
      </w:r>
      <w:r w:rsidR="00731728">
        <w:rPr>
          <w:rFonts w:ascii="Aptos" w:hAnsi="Aptos" w:eastAsia="Aptos" w:cs="Aptos"/>
        </w:rPr>
        <w:t>isoniazid (</w:t>
      </w:r>
      <w:proofErr w:type="spellStart"/>
      <w:r w:rsidRPr="43F0F85D">
        <w:rPr>
          <w:rFonts w:ascii="Aptos" w:hAnsi="Aptos" w:eastAsia="Aptos" w:cs="Aptos"/>
          <w:i/>
          <w:iCs/>
        </w:rPr>
        <w:t>katG</w:t>
      </w:r>
      <w:proofErr w:type="spellEnd"/>
      <w:r w:rsidRPr="43F0F85D">
        <w:rPr>
          <w:rFonts w:ascii="Aptos" w:hAnsi="Aptos" w:eastAsia="Aptos" w:cs="Aptos"/>
        </w:rPr>
        <w:t xml:space="preserve">, </w:t>
      </w:r>
      <w:proofErr w:type="spellStart"/>
      <w:r w:rsidRPr="43F0F85D">
        <w:rPr>
          <w:rFonts w:ascii="Aptos" w:hAnsi="Aptos" w:eastAsia="Aptos" w:cs="Aptos"/>
          <w:i/>
          <w:iCs/>
        </w:rPr>
        <w:t>inhA</w:t>
      </w:r>
      <w:proofErr w:type="spellEnd"/>
      <w:r w:rsidR="00731728">
        <w:rPr>
          <w:rFonts w:ascii="Aptos" w:hAnsi="Aptos" w:eastAsia="Aptos" w:cs="Aptos"/>
          <w:i/>
          <w:iCs/>
        </w:rPr>
        <w:t>)</w:t>
      </w:r>
      <w:r w:rsidRPr="43F0F85D">
        <w:rPr>
          <w:rFonts w:ascii="Aptos" w:hAnsi="Aptos" w:eastAsia="Aptos" w:cs="Aptos"/>
        </w:rPr>
        <w:t>,</w:t>
      </w:r>
      <w:r w:rsidR="00731728">
        <w:rPr>
          <w:rFonts w:ascii="Aptos" w:hAnsi="Aptos" w:eastAsia="Aptos" w:cs="Aptos"/>
        </w:rPr>
        <w:t xml:space="preserve"> quinolone</w:t>
      </w:r>
      <w:r w:rsidRPr="43F0F85D">
        <w:rPr>
          <w:rFonts w:ascii="Aptos" w:hAnsi="Aptos" w:eastAsia="Aptos" w:cs="Aptos"/>
        </w:rPr>
        <w:t xml:space="preserve"> </w:t>
      </w:r>
      <w:r w:rsidR="00731728">
        <w:rPr>
          <w:rFonts w:ascii="Aptos" w:hAnsi="Aptos" w:eastAsia="Aptos" w:cs="Aptos"/>
        </w:rPr>
        <w:t>(</w:t>
      </w:r>
      <w:proofErr w:type="spellStart"/>
      <w:r w:rsidRPr="43F0F85D">
        <w:rPr>
          <w:rFonts w:ascii="Aptos" w:hAnsi="Aptos" w:eastAsia="Aptos" w:cs="Aptos"/>
          <w:i/>
          <w:iCs/>
        </w:rPr>
        <w:t>gyrA</w:t>
      </w:r>
      <w:proofErr w:type="spellEnd"/>
      <w:r w:rsidRPr="43F0F85D">
        <w:rPr>
          <w:rFonts w:ascii="Aptos" w:hAnsi="Aptos" w:eastAsia="Aptos" w:cs="Aptos"/>
          <w:i/>
          <w:iCs/>
        </w:rPr>
        <w:t>/B</w:t>
      </w:r>
      <w:r w:rsidR="00731728">
        <w:rPr>
          <w:rFonts w:ascii="Aptos" w:hAnsi="Aptos" w:eastAsia="Aptos" w:cs="Aptos"/>
          <w:i/>
          <w:iCs/>
        </w:rPr>
        <w:t>)</w:t>
      </w:r>
      <w:r w:rsidRPr="43F0F85D">
        <w:rPr>
          <w:rFonts w:ascii="Aptos" w:hAnsi="Aptos" w:eastAsia="Aptos" w:cs="Aptos"/>
        </w:rPr>
        <w:t>,</w:t>
      </w:r>
      <w:r w:rsidR="00731728">
        <w:rPr>
          <w:rFonts w:ascii="Aptos" w:hAnsi="Aptos" w:eastAsia="Aptos" w:cs="Aptos"/>
        </w:rPr>
        <w:t xml:space="preserve"> aminoglycoside (</w:t>
      </w:r>
      <w:proofErr w:type="spellStart"/>
      <w:r w:rsidRPr="43F0F85D">
        <w:rPr>
          <w:rFonts w:ascii="Aptos" w:hAnsi="Aptos" w:eastAsia="Aptos" w:cs="Aptos"/>
          <w:i/>
          <w:iCs/>
        </w:rPr>
        <w:t>rrs</w:t>
      </w:r>
      <w:proofErr w:type="spellEnd"/>
      <w:r w:rsidRPr="43F0F85D">
        <w:rPr>
          <w:rFonts w:ascii="Aptos" w:hAnsi="Aptos" w:eastAsia="Aptos" w:cs="Aptos"/>
          <w:i/>
          <w:iCs/>
        </w:rPr>
        <w:t>/</w:t>
      </w:r>
      <w:proofErr w:type="spellStart"/>
      <w:r w:rsidRPr="43F0F85D">
        <w:rPr>
          <w:rFonts w:ascii="Aptos" w:hAnsi="Aptos" w:eastAsia="Aptos" w:cs="Aptos"/>
          <w:i/>
          <w:iCs/>
        </w:rPr>
        <w:t>eis</w:t>
      </w:r>
      <w:proofErr w:type="spellEnd"/>
      <w:r w:rsidR="00731728">
        <w:rPr>
          <w:rFonts w:ascii="Aptos" w:hAnsi="Aptos" w:eastAsia="Aptos" w:cs="Aptos"/>
          <w:i/>
          <w:iCs/>
        </w:rPr>
        <w:t>)</w:t>
      </w:r>
      <w:r w:rsidRPr="43F0F85D">
        <w:rPr>
          <w:rFonts w:ascii="Aptos" w:hAnsi="Aptos" w:eastAsia="Aptos" w:cs="Aptos"/>
        </w:rPr>
        <w:t>; 90 min.</w:t>
      </w:r>
    </w:p>
    <w:p w:rsidR="00FF3FEE" w:rsidP="43F0F85D" w:rsidRDefault="010B246F" w14:paraId="140BABE6" w14:textId="7A2A549E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 xml:space="preserve">Positive rifampicin‑resistant or smear‑positive specimens proceed to </w:t>
      </w:r>
      <w:r w:rsidRPr="43F0F85D">
        <w:rPr>
          <w:rFonts w:ascii="Aptos" w:hAnsi="Aptos" w:eastAsia="Aptos" w:cs="Aptos"/>
          <w:b/>
          <w:bCs/>
        </w:rPr>
        <w:t>WGS</w:t>
      </w:r>
      <w:r w:rsidRPr="43F0F85D">
        <w:rPr>
          <w:rFonts w:ascii="Aptos" w:hAnsi="Aptos" w:eastAsia="Aptos" w:cs="Aptos"/>
        </w:rPr>
        <w:t xml:space="preserve"> for full resistance prediction and cluster typing (UKHSA).</w:t>
      </w:r>
    </w:p>
    <w:p w:rsidR="00FF3FEE" w:rsidP="43F0F85D" w:rsidRDefault="010B246F" w14:paraId="7533BC68" w14:textId="5B7201E5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4.2  Homogenisation</w:t>
      </w:r>
      <w:proofErr w:type="gramEnd"/>
      <w:r w:rsidRPr="43F0F85D">
        <w:rPr>
          <w:rFonts w:ascii="Aptos" w:hAnsi="Aptos" w:eastAsia="Aptos" w:cs="Aptos"/>
          <w:b/>
          <w:bCs/>
        </w:rPr>
        <w:t xml:space="preserve"> / Decontamination</w:t>
      </w:r>
    </w:p>
    <w:p w:rsidR="00FF3FEE" w:rsidP="43F0F85D" w:rsidRDefault="010B246F" w14:paraId="73491785" w14:textId="5837ECA5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 xml:space="preserve">Preferred: </w:t>
      </w:r>
      <w:r w:rsidRPr="43F0F85D">
        <w:rPr>
          <w:rFonts w:ascii="Aptos" w:hAnsi="Aptos" w:eastAsia="Aptos" w:cs="Aptos"/>
          <w:b/>
          <w:bCs/>
        </w:rPr>
        <w:t>NALC–NaOH</w:t>
      </w:r>
      <w:r w:rsidRPr="43F0F85D">
        <w:rPr>
          <w:rFonts w:ascii="Aptos" w:hAnsi="Aptos" w:eastAsia="Aptos" w:cs="Aptos"/>
        </w:rPr>
        <w:t xml:space="preserve"> (final 1 % NaOH, 0.5 % NALC) 15 min → neutralise pH 6.8 phosphate buffer, centrifuge 3000 g 15 min.</w:t>
      </w:r>
    </w:p>
    <w:p w:rsidR="00FF3FEE" w:rsidP="43F0F85D" w:rsidRDefault="010B246F" w14:paraId="0FE4A3CF" w14:textId="1CC2EF27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Alternative: 5 % oxalic acid for heavily P. aeruginosa‑contaminated CF sputum.</w:t>
      </w:r>
    </w:p>
    <w:p w:rsidR="00FF3FEE" w:rsidP="43F0F85D" w:rsidRDefault="010B246F" w14:paraId="105FF9EF" w14:textId="68DCA63B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4.3  Microscopy</w:t>
      </w:r>
      <w:proofErr w:type="gramEnd"/>
    </w:p>
    <w:p w:rsidR="00FF3FEE" w:rsidP="43F0F85D" w:rsidRDefault="010B246F" w14:paraId="4706D24B" w14:textId="5126635A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Auramine‑phenol primary (LED fluorescence) → Ziehl‑</w:t>
      </w:r>
      <w:proofErr w:type="spellStart"/>
      <w:r w:rsidRPr="43F0F85D">
        <w:rPr>
          <w:rFonts w:ascii="Aptos" w:hAnsi="Aptos" w:eastAsia="Aptos" w:cs="Aptos"/>
        </w:rPr>
        <w:t>Neelsen</w:t>
      </w:r>
      <w:proofErr w:type="spellEnd"/>
      <w:r w:rsidRPr="43F0F85D">
        <w:rPr>
          <w:rFonts w:ascii="Aptos" w:hAnsi="Aptos" w:eastAsia="Aptos" w:cs="Aptos"/>
        </w:rPr>
        <w:t xml:space="preserve"> </w:t>
      </w:r>
      <w:r w:rsidR="00FE1B4E">
        <w:rPr>
          <w:rFonts w:ascii="Aptos" w:hAnsi="Aptos" w:eastAsia="Aptos" w:cs="Aptos"/>
        </w:rPr>
        <w:t>less sensitive but gives morphological detail</w:t>
      </w:r>
      <w:r w:rsidRPr="43F0F85D">
        <w:rPr>
          <w:rFonts w:ascii="Aptos" w:hAnsi="Aptos" w:eastAsia="Aptos" w:cs="Aptos"/>
        </w:rPr>
        <w:t>.</w:t>
      </w:r>
    </w:p>
    <w:p w:rsidR="00FF3FEE" w:rsidP="43F0F85D" w:rsidRDefault="010B246F" w14:paraId="2695933D" w14:textId="5BFEE606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Report grading (WHO/IUATLD): 0, scanty (1–9 AFB/100 fields), 1+, 2+, 3+.</w:t>
      </w:r>
    </w:p>
    <w:p w:rsidR="00FF3FEE" w:rsidP="43F0F85D" w:rsidRDefault="010B246F" w14:paraId="05E3D2F4" w14:textId="58FFD7F0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lastRenderedPageBreak/>
        <w:t>4.4  Culture</w:t>
      </w:r>
      <w:proofErr w:type="gramEnd"/>
    </w:p>
    <w:p w:rsidR="00FF3FEE" w:rsidP="43F0F85D" w:rsidRDefault="010B246F" w14:paraId="61D32C5B" w14:textId="0A179DE0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Liquid</w:t>
      </w:r>
      <w:r w:rsidRPr="43F0F85D">
        <w:rPr>
          <w:rFonts w:ascii="Aptos" w:hAnsi="Aptos" w:eastAsia="Aptos" w:cs="Aptos"/>
        </w:rPr>
        <w:t xml:space="preserve">: MGIT 960 (⁓10 d positivity), </w:t>
      </w:r>
      <w:proofErr w:type="spellStart"/>
      <w:r w:rsidRPr="43F0F85D">
        <w:rPr>
          <w:rFonts w:ascii="Aptos" w:hAnsi="Aptos" w:eastAsia="Aptos" w:cs="Aptos"/>
        </w:rPr>
        <w:t>VersaTREK</w:t>
      </w:r>
      <w:proofErr w:type="spellEnd"/>
      <w:r w:rsidRPr="43F0F85D">
        <w:rPr>
          <w:rFonts w:ascii="Aptos" w:hAnsi="Aptos" w:eastAsia="Aptos" w:cs="Aptos"/>
        </w:rPr>
        <w:t>.</w:t>
      </w:r>
    </w:p>
    <w:p w:rsidR="00FF3FEE" w:rsidP="43F0F85D" w:rsidRDefault="010B246F" w14:paraId="5EBDB8D1" w14:textId="5E2717C6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Solid</w:t>
      </w:r>
      <w:r w:rsidRPr="43F0F85D">
        <w:rPr>
          <w:rFonts w:ascii="Aptos" w:hAnsi="Aptos" w:eastAsia="Aptos" w:cs="Aptos"/>
        </w:rPr>
        <w:t xml:space="preserve">: Löwenstein–Jensen / Middlebrook 7H10 &amp; 7H11; incubate 37 °C (and 30 °C if </w:t>
      </w:r>
      <w:r w:rsidRPr="43F0F85D">
        <w:rPr>
          <w:rFonts w:ascii="Aptos" w:hAnsi="Aptos" w:eastAsia="Aptos" w:cs="Aptos"/>
          <w:i/>
          <w:iCs/>
        </w:rPr>
        <w:t xml:space="preserve">M. </w:t>
      </w:r>
      <w:proofErr w:type="spellStart"/>
      <w:r w:rsidRPr="43F0F85D">
        <w:rPr>
          <w:rFonts w:ascii="Aptos" w:hAnsi="Aptos" w:eastAsia="Aptos" w:cs="Aptos"/>
          <w:i/>
          <w:iCs/>
        </w:rPr>
        <w:t>haemophilum</w:t>
      </w:r>
      <w:proofErr w:type="spellEnd"/>
      <w:r w:rsidRPr="43F0F85D">
        <w:rPr>
          <w:rFonts w:ascii="Aptos" w:hAnsi="Aptos" w:eastAsia="Aptos" w:cs="Aptos"/>
        </w:rPr>
        <w:t xml:space="preserve"> suspected), retain 8 wks.</w:t>
      </w:r>
    </w:p>
    <w:p w:rsidR="00FF3FEE" w:rsidP="43F0F85D" w:rsidRDefault="010B246F" w14:paraId="7BDFA5F0" w14:textId="53AFB36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Contamination action limit ≤5 % (MGIT); monitor monthly.</w:t>
      </w:r>
    </w:p>
    <w:p w:rsidR="00FF3FEE" w:rsidP="43F0F85D" w:rsidRDefault="010B246F" w14:paraId="4B90D414" w14:textId="42D8C1E0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4.5  Identification</w:t>
      </w:r>
      <w:proofErr w:type="gramEnd"/>
    </w:p>
    <w:p w:rsidR="004C721F" w:rsidP="43F0F85D" w:rsidRDefault="010B246F" w14:paraId="12062E7C" w14:textId="77777777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MALDI‑TOF (Bruker database v11+),</w:t>
      </w:r>
    </w:p>
    <w:p w:rsidR="004C721F" w:rsidP="43F0F85D" w:rsidRDefault="010B246F" w14:paraId="0ABFAF91" w14:textId="77777777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line‑probe assays (</w:t>
      </w:r>
      <w:proofErr w:type="spellStart"/>
      <w:r w:rsidRPr="43F0F85D">
        <w:rPr>
          <w:rFonts w:ascii="Aptos" w:hAnsi="Aptos" w:eastAsia="Aptos" w:cs="Aptos"/>
        </w:rPr>
        <w:t>GenoType</w:t>
      </w:r>
      <w:proofErr w:type="spellEnd"/>
      <w:r w:rsidRPr="43F0F85D">
        <w:rPr>
          <w:rFonts w:ascii="Aptos" w:hAnsi="Aptos" w:eastAsia="Aptos" w:cs="Aptos"/>
        </w:rPr>
        <w:t xml:space="preserve"> Hain), </w:t>
      </w:r>
    </w:p>
    <w:p w:rsidR="00FF3FEE" w:rsidP="43F0F85D" w:rsidRDefault="004C721F" w14:paraId="5CB7DAED" w14:textId="76BEF23D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</w:t>
      </w:r>
      <w:r w:rsidRPr="43F0F85D" w:rsidR="010B246F">
        <w:rPr>
          <w:rFonts w:ascii="Aptos" w:hAnsi="Aptos" w:eastAsia="Aptos" w:cs="Aptos"/>
        </w:rPr>
        <w:t>6S/hsp65/</w:t>
      </w:r>
      <w:proofErr w:type="spellStart"/>
      <w:r w:rsidRPr="43F0F85D" w:rsidR="010B246F">
        <w:rPr>
          <w:rFonts w:ascii="Aptos" w:hAnsi="Aptos" w:eastAsia="Aptos" w:cs="Aptos"/>
        </w:rPr>
        <w:t>rpoB</w:t>
      </w:r>
      <w:proofErr w:type="spellEnd"/>
      <w:r w:rsidRPr="43F0F85D" w:rsidR="010B246F">
        <w:rPr>
          <w:rFonts w:ascii="Aptos" w:hAnsi="Aptos" w:eastAsia="Aptos" w:cs="Aptos"/>
        </w:rPr>
        <w:t xml:space="preserve"> sequencing.</w:t>
      </w:r>
    </w:p>
    <w:p w:rsidR="00FF3FEE" w:rsidP="43F0F85D" w:rsidRDefault="010B246F" w14:paraId="6C55B5A7" w14:textId="19B80DF4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4.6  Drug</w:t>
      </w:r>
      <w:proofErr w:type="gramEnd"/>
      <w:r w:rsidRPr="43F0F85D">
        <w:rPr>
          <w:rFonts w:ascii="Aptos" w:hAnsi="Aptos" w:eastAsia="Aptos" w:cs="Aptos"/>
          <w:b/>
          <w:bCs/>
        </w:rPr>
        <w:t>‑Susceptibility Testing (DST)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19"/>
        <w:gridCol w:w="1926"/>
        <w:gridCol w:w="3970"/>
      </w:tblGrid>
      <w:tr w:rsidR="43F0F85D" w:rsidTr="004C721F" w14:paraId="09418BE4" w14:textId="77777777">
        <w:trPr>
          <w:trHeight w:val="300"/>
        </w:trPr>
        <w:tc>
          <w:tcPr>
            <w:tcW w:w="3119" w:type="dxa"/>
            <w:vAlign w:val="center"/>
          </w:tcPr>
          <w:p w:rsidR="43F0F85D" w:rsidP="43F0F85D" w:rsidRDefault="43F0F85D" w14:paraId="497E5B63" w14:textId="647AFE9D">
            <w:pPr>
              <w:spacing w:after="0"/>
            </w:pPr>
            <w:r>
              <w:t>Method</w:t>
            </w:r>
          </w:p>
        </w:tc>
        <w:tc>
          <w:tcPr>
            <w:tcW w:w="1926" w:type="dxa"/>
            <w:vAlign w:val="center"/>
          </w:tcPr>
          <w:p w:rsidR="43F0F85D" w:rsidP="43F0F85D" w:rsidRDefault="43F0F85D" w14:paraId="118CC76D" w14:textId="2122516A">
            <w:pPr>
              <w:spacing w:after="0"/>
            </w:pPr>
            <w:r>
              <w:t>Organisms</w:t>
            </w:r>
          </w:p>
        </w:tc>
        <w:tc>
          <w:tcPr>
            <w:tcW w:w="3970" w:type="dxa"/>
            <w:vAlign w:val="center"/>
          </w:tcPr>
          <w:p w:rsidR="43F0F85D" w:rsidP="43F0F85D" w:rsidRDefault="43F0F85D" w14:paraId="75521F75" w14:textId="4793654C">
            <w:pPr>
              <w:spacing w:after="0"/>
            </w:pPr>
            <w:r>
              <w:t>Notes</w:t>
            </w:r>
          </w:p>
        </w:tc>
      </w:tr>
      <w:tr w:rsidR="43F0F85D" w:rsidTr="004C721F" w14:paraId="41CD9FA2" w14:textId="77777777">
        <w:trPr>
          <w:trHeight w:val="300"/>
        </w:trPr>
        <w:tc>
          <w:tcPr>
            <w:tcW w:w="3119" w:type="dxa"/>
            <w:vAlign w:val="center"/>
          </w:tcPr>
          <w:p w:rsidR="43F0F85D" w:rsidP="43F0F85D" w:rsidRDefault="43F0F85D" w14:paraId="0ADF6BC2" w14:textId="4F5C1D5D">
            <w:pPr>
              <w:spacing w:after="0"/>
            </w:pPr>
            <w:r w:rsidRPr="43F0F85D">
              <w:rPr>
                <w:b/>
                <w:bCs/>
              </w:rPr>
              <w:t>MGIT 960 SIRE/PZA</w:t>
            </w:r>
          </w:p>
        </w:tc>
        <w:tc>
          <w:tcPr>
            <w:tcW w:w="1926" w:type="dxa"/>
            <w:vAlign w:val="center"/>
          </w:tcPr>
          <w:p w:rsidR="43F0F85D" w:rsidP="43F0F85D" w:rsidRDefault="43F0F85D" w14:paraId="68044E0B" w14:textId="4F9D2D7C">
            <w:pPr>
              <w:spacing w:after="0"/>
            </w:pPr>
            <w:r>
              <w:t>MTBC</w:t>
            </w:r>
          </w:p>
        </w:tc>
        <w:tc>
          <w:tcPr>
            <w:tcW w:w="3970" w:type="dxa"/>
            <w:vAlign w:val="center"/>
          </w:tcPr>
          <w:p w:rsidR="43F0F85D" w:rsidP="43F0F85D" w:rsidRDefault="43F0F85D" w14:paraId="64859DF4" w14:textId="08456301">
            <w:pPr>
              <w:spacing w:after="0"/>
            </w:pPr>
            <w:r>
              <w:t xml:space="preserve">Critical </w:t>
            </w:r>
            <w:proofErr w:type="spellStart"/>
            <w:r>
              <w:t>conc</w:t>
            </w:r>
            <w:proofErr w:type="spellEnd"/>
            <w:r>
              <w:t xml:space="preserve"> per CLSI M24‑A4; QC </w:t>
            </w:r>
            <w:r w:rsidRPr="43F0F85D">
              <w:rPr>
                <w:i/>
                <w:iCs/>
              </w:rPr>
              <w:t>H37Rv</w:t>
            </w:r>
            <w:r>
              <w:t xml:space="preserve"> ATCC 27294.</w:t>
            </w:r>
          </w:p>
        </w:tc>
      </w:tr>
      <w:tr w:rsidR="43F0F85D" w:rsidTr="004C721F" w14:paraId="083A0582" w14:textId="77777777">
        <w:trPr>
          <w:trHeight w:val="300"/>
        </w:trPr>
        <w:tc>
          <w:tcPr>
            <w:tcW w:w="3119" w:type="dxa"/>
            <w:vAlign w:val="center"/>
          </w:tcPr>
          <w:p w:rsidR="43F0F85D" w:rsidP="43F0F85D" w:rsidRDefault="43F0F85D" w14:paraId="186D21CE" w14:textId="7AC18E17">
            <w:pPr>
              <w:spacing w:after="0"/>
            </w:pPr>
            <w:r w:rsidRPr="43F0F85D">
              <w:rPr>
                <w:b/>
                <w:bCs/>
              </w:rPr>
              <w:t>Broth microdilution (</w:t>
            </w:r>
            <w:proofErr w:type="spellStart"/>
            <w:r w:rsidRPr="43F0F85D">
              <w:rPr>
                <w:b/>
                <w:bCs/>
              </w:rPr>
              <w:t>Sensititre</w:t>
            </w:r>
            <w:proofErr w:type="spellEnd"/>
            <w:r w:rsidRPr="43F0F85D">
              <w:rPr>
                <w:b/>
                <w:bCs/>
              </w:rPr>
              <w:t xml:space="preserve"> RAPMYCO)</w:t>
            </w:r>
          </w:p>
        </w:tc>
        <w:tc>
          <w:tcPr>
            <w:tcW w:w="1926" w:type="dxa"/>
            <w:vAlign w:val="center"/>
          </w:tcPr>
          <w:p w:rsidR="43F0F85D" w:rsidP="43F0F85D" w:rsidRDefault="43F0F85D" w14:paraId="02001544" w14:textId="26101C5B">
            <w:pPr>
              <w:spacing w:after="0"/>
            </w:pPr>
            <w:r>
              <w:t>NTM</w:t>
            </w:r>
          </w:p>
        </w:tc>
        <w:tc>
          <w:tcPr>
            <w:tcW w:w="3970" w:type="dxa"/>
            <w:vAlign w:val="center"/>
          </w:tcPr>
          <w:p w:rsidR="43F0F85D" w:rsidP="43F0F85D" w:rsidRDefault="43F0F85D" w14:paraId="1107E05B" w14:textId="1F8D1B91">
            <w:pPr>
              <w:spacing w:after="0"/>
            </w:pPr>
            <w:r>
              <w:t>Test macrolide &amp; amikacin for MAC/</w:t>
            </w:r>
            <w:proofErr w:type="spellStart"/>
            <w:r>
              <w:t>abscessus</w:t>
            </w:r>
            <w:proofErr w:type="spellEnd"/>
            <w:r>
              <w:t>; report MICs.</w:t>
            </w:r>
          </w:p>
        </w:tc>
      </w:tr>
      <w:tr w:rsidR="43F0F85D" w:rsidTr="004C721F" w14:paraId="0B3AAC86" w14:textId="77777777">
        <w:trPr>
          <w:trHeight w:val="300"/>
        </w:trPr>
        <w:tc>
          <w:tcPr>
            <w:tcW w:w="3119" w:type="dxa"/>
            <w:vAlign w:val="center"/>
          </w:tcPr>
          <w:p w:rsidR="43F0F85D" w:rsidP="43F0F85D" w:rsidRDefault="43F0F85D" w14:paraId="3FE49EE4" w14:textId="5D446AB3">
            <w:pPr>
              <w:spacing w:after="0"/>
            </w:pPr>
            <w:r w:rsidRPr="43F0F85D">
              <w:rPr>
                <w:b/>
                <w:bCs/>
              </w:rPr>
              <w:t>Rapid molecular</w:t>
            </w:r>
          </w:p>
        </w:tc>
        <w:tc>
          <w:tcPr>
            <w:tcW w:w="1926" w:type="dxa"/>
            <w:vAlign w:val="center"/>
          </w:tcPr>
          <w:p w:rsidR="43F0F85D" w:rsidP="43F0F85D" w:rsidRDefault="43F0F85D" w14:paraId="5F2B05B4" w14:textId="486BFACC">
            <w:pPr>
              <w:spacing w:after="0"/>
            </w:pPr>
            <w:r>
              <w:t xml:space="preserve">GeneXpert, LPAs, </w:t>
            </w:r>
            <w:proofErr w:type="spellStart"/>
            <w:r>
              <w:t>tNGS</w:t>
            </w:r>
            <w:proofErr w:type="spellEnd"/>
            <w:r>
              <w:t>/WGS</w:t>
            </w:r>
          </w:p>
        </w:tc>
        <w:tc>
          <w:tcPr>
            <w:tcW w:w="3970" w:type="dxa"/>
            <w:vAlign w:val="center"/>
          </w:tcPr>
          <w:p w:rsidR="43F0F85D" w:rsidP="43F0F85D" w:rsidRDefault="43F0F85D" w14:paraId="5F0E4983" w14:textId="35543632">
            <w:pPr>
              <w:spacing w:after="0"/>
            </w:pPr>
            <w:r>
              <w:t xml:space="preserve">Interpret mutations (e.g. </w:t>
            </w:r>
            <w:proofErr w:type="spellStart"/>
            <w:r w:rsidRPr="43F0F85D">
              <w:rPr>
                <w:i/>
                <w:iCs/>
              </w:rPr>
              <w:t>katG</w:t>
            </w:r>
            <w:proofErr w:type="spellEnd"/>
            <w:r w:rsidRPr="43F0F85D">
              <w:rPr>
                <w:i/>
                <w:iCs/>
              </w:rPr>
              <w:t xml:space="preserve"> S315T</w:t>
            </w:r>
            <w:r>
              <w:t xml:space="preserve"> high‑level INH R).</w:t>
            </w:r>
          </w:p>
        </w:tc>
      </w:tr>
    </w:tbl>
    <w:p w:rsidR="00FF3FEE" w:rsidP="43F0F85D" w:rsidRDefault="010B246F" w14:paraId="45BBA3C1" w14:textId="24F7F1F2">
      <w:pPr>
        <w:spacing w:before="240" w:after="240"/>
      </w:pPr>
      <w:r w:rsidRPr="43F0F85D">
        <w:rPr>
          <w:rFonts w:ascii="Aptos" w:hAnsi="Aptos" w:eastAsia="Aptos" w:cs="Aptos"/>
        </w:rPr>
        <w:t>Quality control: weekly QC strains (</w:t>
      </w:r>
      <w:r w:rsidRPr="43F0F85D">
        <w:rPr>
          <w:rFonts w:ascii="Aptos" w:hAnsi="Aptos" w:eastAsia="Aptos" w:cs="Aptos"/>
          <w:i/>
          <w:iCs/>
        </w:rPr>
        <w:t>M. avium</w:t>
      </w:r>
      <w:r w:rsidRPr="43F0F85D">
        <w:rPr>
          <w:rFonts w:ascii="Aptos" w:hAnsi="Aptos" w:eastAsia="Aptos" w:cs="Aptos"/>
        </w:rPr>
        <w:t xml:space="preserve"> ATCC 700898, </w:t>
      </w:r>
      <w:r w:rsidRPr="43F0F85D">
        <w:rPr>
          <w:rFonts w:ascii="Aptos" w:hAnsi="Aptos" w:eastAsia="Aptos" w:cs="Aptos"/>
          <w:i/>
          <w:iCs/>
        </w:rPr>
        <w:t xml:space="preserve">M. </w:t>
      </w:r>
      <w:proofErr w:type="spellStart"/>
      <w:r w:rsidRPr="43F0F85D">
        <w:rPr>
          <w:rFonts w:ascii="Aptos" w:hAnsi="Aptos" w:eastAsia="Aptos" w:cs="Aptos"/>
          <w:i/>
          <w:iCs/>
        </w:rPr>
        <w:t>kansasii</w:t>
      </w:r>
      <w:proofErr w:type="spellEnd"/>
      <w:r w:rsidRPr="43F0F85D">
        <w:rPr>
          <w:rFonts w:ascii="Aptos" w:hAnsi="Aptos" w:eastAsia="Aptos" w:cs="Aptos"/>
        </w:rPr>
        <w:t xml:space="preserve"> ATCC 12478), MGIT positive &amp; negative controls each run; document under ISO 15189.</w:t>
      </w:r>
    </w:p>
    <w:p w:rsidR="00FF3FEE" w:rsidP="43F0F85D" w:rsidRDefault="00FF3FEE" w14:paraId="2A868AA8" w14:textId="522492B9">
      <w:pPr>
        <w:spacing w:after="0"/>
      </w:pPr>
    </w:p>
    <w:p w:rsidR="00FF3FEE" w:rsidP="43F0F85D" w:rsidRDefault="010B246F" w14:paraId="4CB82C3E" w14:textId="5EF89A1E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5  Public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Health &amp; Genomics</w:t>
      </w:r>
    </w:p>
    <w:p w:rsidR="00FF3FEE" w:rsidP="43F0F85D" w:rsidRDefault="010B246F" w14:paraId="5B05EFF4" w14:textId="48689AF8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Statutory notification</w:t>
      </w:r>
      <w:r w:rsidRPr="43F0F85D">
        <w:rPr>
          <w:rFonts w:ascii="Aptos" w:hAnsi="Aptos" w:eastAsia="Aptos" w:cs="Aptos"/>
        </w:rPr>
        <w:t xml:space="preserve"> of TB within 24 h (online ETS).</w:t>
      </w:r>
    </w:p>
    <w:p w:rsidR="00FF3FEE" w:rsidP="43F0F85D" w:rsidRDefault="010B246F" w14:paraId="6907A9AD" w14:textId="3EE8F495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WGS</w:t>
      </w:r>
      <w:r w:rsidRPr="43F0F85D">
        <w:rPr>
          <w:rFonts w:ascii="Aptos" w:hAnsi="Aptos" w:eastAsia="Aptos" w:cs="Aptos"/>
        </w:rPr>
        <w:t>: SNP cut‑off ≤5 SNPs suggests recent transmission; triggers incident meeting.</w:t>
      </w:r>
    </w:p>
    <w:p w:rsidR="00FF3FEE" w:rsidP="43F0F85D" w:rsidRDefault="010B246F" w14:paraId="7288E943" w14:textId="21F10265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Contact tracing</w:t>
      </w:r>
      <w:r w:rsidRPr="43F0F85D">
        <w:rPr>
          <w:rFonts w:ascii="Aptos" w:hAnsi="Aptos" w:eastAsia="Aptos" w:cs="Aptos"/>
        </w:rPr>
        <w:t>: concentric circles, risk matrix (smear ++, cavitary, household, paediatric). Follow 2021–26 UKHSA TB Action Plan.</w:t>
      </w:r>
    </w:p>
    <w:p w:rsidR="00FF3FEE" w:rsidP="43F0F85D" w:rsidRDefault="010B246F" w14:paraId="4B9D1CB9" w14:textId="32D8BCBE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EQA</w:t>
      </w:r>
      <w:r w:rsidRPr="43F0F85D">
        <w:rPr>
          <w:rFonts w:ascii="Aptos" w:hAnsi="Aptos" w:eastAsia="Aptos" w:cs="Aptos"/>
        </w:rPr>
        <w:t>: UK NEQAS AFB smear, culture, identification &amp; DST schemes.</w:t>
      </w:r>
    </w:p>
    <w:p w:rsidR="00FF3FEE" w:rsidP="43F0F85D" w:rsidRDefault="00FF3FEE" w14:paraId="280FD229" w14:textId="49D880A6">
      <w:pPr>
        <w:spacing w:after="0"/>
      </w:pPr>
    </w:p>
    <w:p w:rsidR="001E6763" w:rsidP="5E6DC69D" w:rsidRDefault="001E6763" w14:paraId="3BCCCC74" w14:noSpellErr="1" w14:textId="1304F7AD">
      <w:pPr>
        <w:rPr>
          <w:rFonts w:ascii="Aptos" w:hAnsi="Aptos" w:eastAsia="Aptos" w:cs="Aptos"/>
          <w:b w:val="1"/>
          <w:bCs w:val="1"/>
          <w:sz w:val="36"/>
          <w:szCs w:val="36"/>
        </w:rPr>
      </w:pPr>
    </w:p>
    <w:p w:rsidR="00FF3FEE" w:rsidP="43F0F85D" w:rsidRDefault="010B246F" w14:paraId="158DF7A0" w14:textId="71649C4B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lastRenderedPageBreak/>
        <w:t>6  Treatment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&amp; Management</w:t>
      </w:r>
    </w:p>
    <w:p w:rsidR="00FF3FEE" w:rsidP="43F0F85D" w:rsidRDefault="010B246F" w14:paraId="02A2D2AD" w14:textId="026473B5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6.1  Drug</w:t>
      </w:r>
      <w:proofErr w:type="gramEnd"/>
      <w:r w:rsidRPr="43F0F85D">
        <w:rPr>
          <w:rFonts w:ascii="Aptos" w:hAnsi="Aptos" w:eastAsia="Aptos" w:cs="Aptos"/>
          <w:b/>
          <w:bCs/>
        </w:rPr>
        <w:t>‑susceptible TB (adults)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2409"/>
        <w:gridCol w:w="2694"/>
      </w:tblGrid>
      <w:tr w:rsidR="43F0F85D" w:rsidTr="00FA1265" w14:paraId="1CA7F749" w14:textId="77777777">
        <w:trPr>
          <w:trHeight w:val="300"/>
        </w:trPr>
        <w:tc>
          <w:tcPr>
            <w:tcW w:w="2127" w:type="dxa"/>
            <w:vAlign w:val="center"/>
          </w:tcPr>
          <w:p w:rsidR="43F0F85D" w:rsidP="43F0F85D" w:rsidRDefault="43F0F85D" w14:paraId="3BB2761F" w14:textId="0EFEDECC">
            <w:pPr>
              <w:spacing w:after="0"/>
            </w:pPr>
            <w:r>
              <w:t>Phase</w:t>
            </w:r>
          </w:p>
        </w:tc>
        <w:tc>
          <w:tcPr>
            <w:tcW w:w="2409" w:type="dxa"/>
            <w:vAlign w:val="center"/>
          </w:tcPr>
          <w:p w:rsidR="43F0F85D" w:rsidP="43F0F85D" w:rsidRDefault="43F0F85D" w14:paraId="504EEA33" w14:textId="73D40592">
            <w:pPr>
              <w:spacing w:after="0"/>
            </w:pPr>
            <w:r>
              <w:t>Regimen</w:t>
            </w:r>
          </w:p>
        </w:tc>
        <w:tc>
          <w:tcPr>
            <w:tcW w:w="2694" w:type="dxa"/>
            <w:vAlign w:val="center"/>
          </w:tcPr>
          <w:p w:rsidR="43F0F85D" w:rsidP="43F0F85D" w:rsidRDefault="43F0F85D" w14:paraId="4C2ECC19" w14:textId="2C551401">
            <w:pPr>
              <w:spacing w:after="0"/>
            </w:pPr>
            <w:r>
              <w:t>Duration</w:t>
            </w:r>
          </w:p>
        </w:tc>
      </w:tr>
      <w:tr w:rsidR="43F0F85D" w:rsidTr="00FA1265" w14:paraId="0FEED523" w14:textId="77777777">
        <w:trPr>
          <w:trHeight w:val="300"/>
        </w:trPr>
        <w:tc>
          <w:tcPr>
            <w:tcW w:w="2127" w:type="dxa"/>
            <w:vAlign w:val="center"/>
          </w:tcPr>
          <w:p w:rsidR="43F0F85D" w:rsidP="43F0F85D" w:rsidRDefault="43F0F85D" w14:paraId="668D0381" w14:textId="167D516C">
            <w:pPr>
              <w:spacing w:after="0"/>
            </w:pPr>
            <w:r>
              <w:t>Intensive</w:t>
            </w:r>
          </w:p>
        </w:tc>
        <w:tc>
          <w:tcPr>
            <w:tcW w:w="2409" w:type="dxa"/>
            <w:vAlign w:val="center"/>
          </w:tcPr>
          <w:p w:rsidR="43F0F85D" w:rsidP="43F0F85D" w:rsidRDefault="43F0F85D" w14:paraId="5BB5D1F1" w14:textId="48B5F4C8">
            <w:pPr>
              <w:spacing w:after="0"/>
            </w:pPr>
            <w:r>
              <w:t>R + H + Z + E</w:t>
            </w:r>
          </w:p>
        </w:tc>
        <w:tc>
          <w:tcPr>
            <w:tcW w:w="2694" w:type="dxa"/>
            <w:vAlign w:val="center"/>
          </w:tcPr>
          <w:p w:rsidR="43F0F85D" w:rsidP="43F0F85D" w:rsidRDefault="43F0F85D" w14:paraId="2F85ED51" w14:textId="4A4096E7">
            <w:pPr>
              <w:spacing w:after="0"/>
            </w:pPr>
            <w:r>
              <w:t>2 months</w:t>
            </w:r>
          </w:p>
        </w:tc>
      </w:tr>
      <w:tr w:rsidR="43F0F85D" w:rsidTr="00FA1265" w14:paraId="50033586" w14:textId="77777777">
        <w:trPr>
          <w:trHeight w:val="300"/>
        </w:trPr>
        <w:tc>
          <w:tcPr>
            <w:tcW w:w="2127" w:type="dxa"/>
            <w:vAlign w:val="center"/>
          </w:tcPr>
          <w:p w:rsidR="43F0F85D" w:rsidP="43F0F85D" w:rsidRDefault="43F0F85D" w14:paraId="0E9C9DFD" w14:textId="49E56374">
            <w:pPr>
              <w:spacing w:after="0"/>
            </w:pPr>
            <w:r>
              <w:t>Continuation</w:t>
            </w:r>
          </w:p>
        </w:tc>
        <w:tc>
          <w:tcPr>
            <w:tcW w:w="2409" w:type="dxa"/>
            <w:vAlign w:val="center"/>
          </w:tcPr>
          <w:p w:rsidR="43F0F85D" w:rsidP="43F0F85D" w:rsidRDefault="43F0F85D" w14:paraId="0CBD1E07" w14:textId="4319E468">
            <w:pPr>
              <w:spacing w:after="0"/>
            </w:pPr>
            <w:r>
              <w:t>R + H</w:t>
            </w:r>
          </w:p>
        </w:tc>
        <w:tc>
          <w:tcPr>
            <w:tcW w:w="2694" w:type="dxa"/>
            <w:vAlign w:val="center"/>
          </w:tcPr>
          <w:p w:rsidR="43F0F85D" w:rsidP="43F0F85D" w:rsidRDefault="43F0F85D" w14:paraId="209F8E3B" w14:textId="3D6F7F53">
            <w:pPr>
              <w:spacing w:after="0"/>
            </w:pPr>
            <w:r>
              <w:t>4 months</w:t>
            </w:r>
          </w:p>
        </w:tc>
      </w:tr>
    </w:tbl>
    <w:p w:rsidR="00FF3FEE" w:rsidP="43F0F85D" w:rsidRDefault="010B246F" w14:paraId="2E68213C" w14:textId="184F37FB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6.2  DR</w:t>
      </w:r>
      <w:proofErr w:type="gramEnd"/>
      <w:r w:rsidRPr="43F0F85D">
        <w:rPr>
          <w:rFonts w:ascii="Aptos" w:hAnsi="Aptos" w:eastAsia="Aptos" w:cs="Aptos"/>
          <w:b/>
          <w:bCs/>
        </w:rPr>
        <w:t>‑TB (WHO Module 4, Apr 2025)</w:t>
      </w:r>
    </w:p>
    <w:p w:rsidR="00FF3FEE" w:rsidP="43F0F85D" w:rsidRDefault="010B246F" w14:paraId="027E1756" w14:textId="63F6EF7C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Short all‑oral regimen (</w:t>
      </w:r>
      <w:proofErr w:type="spellStart"/>
      <w:r w:rsidRPr="43F0F85D">
        <w:rPr>
          <w:rFonts w:ascii="Aptos" w:hAnsi="Aptos" w:eastAsia="Aptos" w:cs="Aptos"/>
          <w:b/>
          <w:bCs/>
        </w:rPr>
        <w:t>BPaLM</w:t>
      </w:r>
      <w:proofErr w:type="spellEnd"/>
      <w:r w:rsidRPr="43F0F85D">
        <w:rPr>
          <w:rFonts w:ascii="Aptos" w:hAnsi="Aptos" w:eastAsia="Aptos" w:cs="Aptos"/>
          <w:b/>
          <w:bCs/>
        </w:rPr>
        <w:t>)</w:t>
      </w:r>
      <w:r w:rsidRPr="43F0F85D">
        <w:rPr>
          <w:rFonts w:ascii="Aptos" w:hAnsi="Aptos" w:eastAsia="Aptos" w:cs="Aptos"/>
        </w:rPr>
        <w:t xml:space="preserve">: </w:t>
      </w:r>
      <w:proofErr w:type="spellStart"/>
      <w:r w:rsidRPr="43F0F85D">
        <w:rPr>
          <w:rFonts w:ascii="Aptos" w:hAnsi="Aptos" w:eastAsia="Aptos" w:cs="Aptos"/>
        </w:rPr>
        <w:t>bedaquiline</w:t>
      </w:r>
      <w:proofErr w:type="spellEnd"/>
      <w:r w:rsidRPr="43F0F85D">
        <w:rPr>
          <w:rFonts w:ascii="Aptos" w:hAnsi="Aptos" w:eastAsia="Aptos" w:cs="Aptos"/>
        </w:rPr>
        <w:t xml:space="preserve"> 400 mg </w:t>
      </w:r>
      <w:proofErr w:type="spellStart"/>
      <w:r w:rsidRPr="43F0F85D">
        <w:rPr>
          <w:rFonts w:ascii="Aptos" w:hAnsi="Aptos" w:eastAsia="Aptos" w:cs="Aptos"/>
        </w:rPr>
        <w:t>qd</w:t>
      </w:r>
      <w:proofErr w:type="spellEnd"/>
      <w:r w:rsidRPr="43F0F85D">
        <w:rPr>
          <w:rFonts w:ascii="Aptos" w:hAnsi="Aptos" w:eastAsia="Aptos" w:cs="Aptos"/>
        </w:rPr>
        <w:t> 2 </w:t>
      </w:r>
      <w:proofErr w:type="spellStart"/>
      <w:r w:rsidRPr="43F0F85D">
        <w:rPr>
          <w:rFonts w:ascii="Aptos" w:hAnsi="Aptos" w:eastAsia="Aptos" w:cs="Aptos"/>
        </w:rPr>
        <w:t>wks</w:t>
      </w:r>
      <w:proofErr w:type="spellEnd"/>
      <w:r w:rsidRPr="43F0F85D">
        <w:rPr>
          <w:rFonts w:ascii="Aptos" w:hAnsi="Aptos" w:eastAsia="Aptos" w:cs="Aptos"/>
        </w:rPr>
        <w:t xml:space="preserve"> then 200 mg thrice‑weekly + </w:t>
      </w:r>
      <w:proofErr w:type="spellStart"/>
      <w:r w:rsidRPr="43F0F85D">
        <w:rPr>
          <w:rFonts w:ascii="Aptos" w:hAnsi="Aptos" w:eastAsia="Aptos" w:cs="Aptos"/>
        </w:rPr>
        <w:t>pretomanid</w:t>
      </w:r>
      <w:proofErr w:type="spellEnd"/>
      <w:r w:rsidRPr="43F0F85D">
        <w:rPr>
          <w:rFonts w:ascii="Aptos" w:hAnsi="Aptos" w:eastAsia="Aptos" w:cs="Aptos"/>
        </w:rPr>
        <w:t> 200 mg </w:t>
      </w:r>
      <w:proofErr w:type="spellStart"/>
      <w:r w:rsidRPr="43F0F85D">
        <w:rPr>
          <w:rFonts w:ascii="Aptos" w:hAnsi="Aptos" w:eastAsia="Aptos" w:cs="Aptos"/>
        </w:rPr>
        <w:t>qd</w:t>
      </w:r>
      <w:proofErr w:type="spellEnd"/>
      <w:r w:rsidRPr="43F0F85D">
        <w:rPr>
          <w:rFonts w:ascii="Aptos" w:hAnsi="Aptos" w:eastAsia="Aptos" w:cs="Aptos"/>
        </w:rPr>
        <w:t xml:space="preserve"> + linezolid 600 mg </w:t>
      </w:r>
      <w:proofErr w:type="spellStart"/>
      <w:r w:rsidRPr="43F0F85D">
        <w:rPr>
          <w:rFonts w:ascii="Aptos" w:hAnsi="Aptos" w:eastAsia="Aptos" w:cs="Aptos"/>
        </w:rPr>
        <w:t>qd</w:t>
      </w:r>
      <w:proofErr w:type="spellEnd"/>
      <w:r w:rsidRPr="43F0F85D">
        <w:rPr>
          <w:rFonts w:ascii="Aptos" w:hAnsi="Aptos" w:eastAsia="Aptos" w:cs="Aptos"/>
        </w:rPr>
        <w:t xml:space="preserve"> + moxifloxacin 400 mg </w:t>
      </w:r>
      <w:proofErr w:type="spellStart"/>
      <w:r w:rsidRPr="43F0F85D">
        <w:rPr>
          <w:rFonts w:ascii="Aptos" w:hAnsi="Aptos" w:eastAsia="Aptos" w:cs="Aptos"/>
        </w:rPr>
        <w:t>qd</w:t>
      </w:r>
      <w:proofErr w:type="spellEnd"/>
      <w:r w:rsidRPr="43F0F85D">
        <w:rPr>
          <w:rFonts w:ascii="Aptos" w:hAnsi="Aptos" w:eastAsia="Aptos" w:cs="Aptos"/>
        </w:rPr>
        <w:t xml:space="preserve"> for 6–9 mo.</w:t>
      </w:r>
    </w:p>
    <w:p w:rsidR="00FF3FEE" w:rsidP="43F0F85D" w:rsidRDefault="010B246F" w14:paraId="6517EE96" w14:textId="70F14337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Monitor ECG (QTc &gt;500 </w:t>
      </w:r>
      <w:proofErr w:type="spellStart"/>
      <w:r w:rsidRPr="43F0F85D">
        <w:rPr>
          <w:rFonts w:ascii="Aptos" w:hAnsi="Aptos" w:eastAsia="Aptos" w:cs="Aptos"/>
        </w:rPr>
        <w:t>ms</w:t>
      </w:r>
      <w:proofErr w:type="spellEnd"/>
      <w:r w:rsidRPr="43F0F85D">
        <w:rPr>
          <w:rFonts w:ascii="Aptos" w:hAnsi="Aptos" w:eastAsia="Aptos" w:cs="Aptos"/>
        </w:rPr>
        <w:t>), LFTs, weekly FBC for linezolid.</w:t>
      </w:r>
    </w:p>
    <w:p w:rsidR="00FF3FEE" w:rsidP="43F0F85D" w:rsidRDefault="010B246F" w14:paraId="457FA635" w14:textId="538E1662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t>6.3  Non</w:t>
      </w:r>
      <w:proofErr w:type="gramEnd"/>
      <w:r w:rsidRPr="43F0F85D">
        <w:rPr>
          <w:rFonts w:ascii="Aptos" w:hAnsi="Aptos" w:eastAsia="Aptos" w:cs="Aptos"/>
          <w:b/>
          <w:bCs/>
        </w:rPr>
        <w:t>‑tuberculous Mycobacteria</w:t>
      </w:r>
    </w:p>
    <w:tbl>
      <w:tblPr>
        <w:tblW w:w="107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3686"/>
        <w:gridCol w:w="4111"/>
        <w:gridCol w:w="2976"/>
      </w:tblGrid>
      <w:tr w:rsidR="43F0F85D" w:rsidTr="004C3813" w14:paraId="33211895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7628C11B" w14:textId="2229E535">
            <w:pPr>
              <w:spacing w:after="0"/>
            </w:pPr>
            <w:r>
              <w:t>Scenario</w:t>
            </w:r>
          </w:p>
        </w:tc>
        <w:tc>
          <w:tcPr>
            <w:tcW w:w="4111" w:type="dxa"/>
            <w:vAlign w:val="center"/>
          </w:tcPr>
          <w:p w:rsidR="43F0F85D" w:rsidP="43F0F85D" w:rsidRDefault="43F0F85D" w14:paraId="40ACF60E" w14:textId="35922F6C">
            <w:pPr>
              <w:spacing w:after="0"/>
            </w:pPr>
            <w:r>
              <w:t>Preferred regimen</w:t>
            </w:r>
          </w:p>
        </w:tc>
        <w:tc>
          <w:tcPr>
            <w:tcW w:w="2976" w:type="dxa"/>
            <w:vAlign w:val="center"/>
          </w:tcPr>
          <w:p w:rsidR="43F0F85D" w:rsidP="43F0F85D" w:rsidRDefault="43F0F85D" w14:paraId="4558948A" w14:textId="25680E39">
            <w:pPr>
              <w:spacing w:after="0"/>
            </w:pPr>
            <w:r>
              <w:t>Comments</w:t>
            </w:r>
          </w:p>
        </w:tc>
      </w:tr>
      <w:tr w:rsidR="43F0F85D" w:rsidTr="004C3813" w14:paraId="468F744C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5BADBE2C" w14:textId="5414B4E4">
            <w:pPr>
              <w:spacing w:after="0"/>
            </w:pPr>
            <w:r w:rsidRPr="43F0F85D">
              <w:rPr>
                <w:b/>
                <w:bCs/>
              </w:rPr>
              <w:t>MAC – nodular/</w:t>
            </w:r>
            <w:proofErr w:type="spellStart"/>
            <w:r w:rsidRPr="43F0F85D">
              <w:rPr>
                <w:b/>
                <w:bCs/>
              </w:rPr>
              <w:t>bronchiectatic</w:t>
            </w:r>
            <w:proofErr w:type="spellEnd"/>
          </w:p>
        </w:tc>
        <w:tc>
          <w:tcPr>
            <w:tcW w:w="4111" w:type="dxa"/>
            <w:vAlign w:val="center"/>
          </w:tcPr>
          <w:p w:rsidR="43F0F85D" w:rsidP="43F0F85D" w:rsidRDefault="43F0F85D" w14:paraId="5703224E" w14:textId="7073E43E">
            <w:pPr>
              <w:spacing w:after="0"/>
            </w:pPr>
            <w:r>
              <w:t xml:space="preserve">3× weekly </w:t>
            </w:r>
            <w:proofErr w:type="spellStart"/>
            <w:r>
              <w:t>azithro</w:t>
            </w:r>
            <w:proofErr w:type="spellEnd"/>
            <w:r>
              <w:t> 500 mg + rifampicin 600 mg + ethambutol 25 mg/kg</w:t>
            </w:r>
          </w:p>
        </w:tc>
        <w:tc>
          <w:tcPr>
            <w:tcW w:w="2976" w:type="dxa"/>
            <w:vAlign w:val="center"/>
          </w:tcPr>
          <w:p w:rsidR="43F0F85D" w:rsidP="43F0F85D" w:rsidRDefault="43F0F85D" w14:paraId="06023870" w14:textId="3E0673CF">
            <w:pPr>
              <w:spacing w:after="0"/>
            </w:pPr>
            <w:r>
              <w:t>≥12 </w:t>
            </w:r>
            <w:proofErr w:type="spellStart"/>
            <w:r>
              <w:t>mo</w:t>
            </w:r>
            <w:proofErr w:type="spellEnd"/>
            <w:r>
              <w:t xml:space="preserve"> post‑conversion</w:t>
            </w:r>
          </w:p>
        </w:tc>
      </w:tr>
      <w:tr w:rsidR="43F0F85D" w:rsidTr="004C3813" w14:paraId="093596FA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4F029886" w14:textId="29C5B927">
            <w:pPr>
              <w:spacing w:after="0"/>
            </w:pPr>
            <w:r w:rsidRPr="43F0F85D">
              <w:rPr>
                <w:b/>
                <w:bCs/>
              </w:rPr>
              <w:t>MAC – cavitary / severe</w:t>
            </w:r>
          </w:p>
        </w:tc>
        <w:tc>
          <w:tcPr>
            <w:tcW w:w="4111" w:type="dxa"/>
            <w:vAlign w:val="center"/>
          </w:tcPr>
          <w:p w:rsidR="0015391A" w:rsidP="43F0F85D" w:rsidRDefault="43F0F85D" w14:paraId="41F9D9CF" w14:textId="77777777">
            <w:pPr>
              <w:spacing w:after="0"/>
            </w:pPr>
            <w:r>
              <w:t xml:space="preserve">Daily </w:t>
            </w:r>
            <w:proofErr w:type="spellStart"/>
            <w:r>
              <w:t>azithro</w:t>
            </w:r>
            <w:proofErr w:type="spellEnd"/>
            <w:r>
              <w:t xml:space="preserve"> 250–500 mg </w:t>
            </w:r>
          </w:p>
          <w:p w:rsidR="0015391A" w:rsidP="43F0F85D" w:rsidRDefault="43F0F85D" w14:paraId="25DD7C4A" w14:textId="77777777">
            <w:pPr>
              <w:spacing w:after="0"/>
            </w:pPr>
            <w:r>
              <w:t xml:space="preserve">+ rifampicin </w:t>
            </w:r>
          </w:p>
          <w:p w:rsidR="0015391A" w:rsidP="43F0F85D" w:rsidRDefault="43F0F85D" w14:paraId="42B6A4D9" w14:textId="77777777">
            <w:pPr>
              <w:spacing w:after="0"/>
            </w:pPr>
            <w:r>
              <w:t xml:space="preserve">+ ethambutol </w:t>
            </w:r>
          </w:p>
          <w:p w:rsidR="43F0F85D" w:rsidP="43F0F85D" w:rsidRDefault="43F0F85D" w14:paraId="4344F1DF" w14:textId="3CF5F4A1">
            <w:pPr>
              <w:spacing w:after="0"/>
            </w:pPr>
            <w:r w:rsidRPr="43F0F85D">
              <w:rPr>
                <w:b/>
                <w:bCs/>
              </w:rPr>
              <w:t>± IV amikacin</w:t>
            </w:r>
            <w:r>
              <w:t xml:space="preserve"> first 2–3 </w:t>
            </w:r>
            <w:proofErr w:type="spellStart"/>
            <w:r>
              <w:t>mo</w:t>
            </w:r>
            <w:proofErr w:type="spellEnd"/>
          </w:p>
        </w:tc>
        <w:tc>
          <w:tcPr>
            <w:tcW w:w="2976" w:type="dxa"/>
            <w:vAlign w:val="center"/>
          </w:tcPr>
          <w:p w:rsidR="43F0F85D" w:rsidP="43F0F85D" w:rsidRDefault="43F0F85D" w14:paraId="301753F5" w14:textId="7981E6F4">
            <w:pPr>
              <w:spacing w:after="0"/>
            </w:pPr>
            <w:r>
              <w:t>Add ALIS if culture‑</w:t>
            </w:r>
            <w:proofErr w:type="spellStart"/>
            <w:r>
              <w:t>pos</w:t>
            </w:r>
            <w:proofErr w:type="spellEnd"/>
            <w:r>
              <w:t xml:space="preserve"> ≥6 </w:t>
            </w:r>
            <w:proofErr w:type="spellStart"/>
            <w:r>
              <w:t>mo</w:t>
            </w:r>
            <w:proofErr w:type="spellEnd"/>
          </w:p>
        </w:tc>
      </w:tr>
      <w:tr w:rsidR="43F0F85D" w:rsidTr="004C3813" w14:paraId="5D766725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0BDAE0D2" w14:textId="4700CA72">
            <w:pPr>
              <w:spacing w:after="0"/>
            </w:pPr>
            <w:r w:rsidRPr="43F0F85D">
              <w:rPr>
                <w:b/>
                <w:bCs/>
              </w:rPr>
              <w:t>M. </w:t>
            </w:r>
            <w:proofErr w:type="spellStart"/>
            <w:r w:rsidRPr="43F0F85D">
              <w:rPr>
                <w:b/>
                <w:bCs/>
              </w:rPr>
              <w:t>kansasii</w:t>
            </w:r>
            <w:proofErr w:type="spellEnd"/>
          </w:p>
        </w:tc>
        <w:tc>
          <w:tcPr>
            <w:tcW w:w="4111" w:type="dxa"/>
            <w:vAlign w:val="center"/>
          </w:tcPr>
          <w:p w:rsidR="0015391A" w:rsidP="43F0F85D" w:rsidRDefault="43F0F85D" w14:paraId="48B4DD50" w14:textId="77777777">
            <w:pPr>
              <w:spacing w:after="0"/>
            </w:pPr>
            <w:r>
              <w:t xml:space="preserve">Daily rifampicin </w:t>
            </w:r>
          </w:p>
          <w:p w:rsidR="0015391A" w:rsidP="43F0F85D" w:rsidRDefault="43F0F85D" w14:paraId="26488E61" w14:textId="77777777">
            <w:pPr>
              <w:spacing w:after="0"/>
            </w:pPr>
            <w:r>
              <w:t xml:space="preserve">+ ethambutol </w:t>
            </w:r>
          </w:p>
          <w:p w:rsidRPr="009810E5" w:rsidR="43F0F85D" w:rsidP="43F0F85D" w:rsidRDefault="43F0F85D" w14:paraId="132CEF98" w14:textId="5D9B34E1">
            <w:pPr>
              <w:spacing w:after="0"/>
            </w:pPr>
            <w:r w:rsidRPr="009810E5">
              <w:t xml:space="preserve">+ INH </w:t>
            </w:r>
            <w:r w:rsidRPr="009810E5">
              <w:rPr>
                <w:i/>
                <w:iCs/>
              </w:rPr>
              <w:t>or</w:t>
            </w:r>
            <w:r w:rsidRPr="009810E5">
              <w:t xml:space="preserve"> </w:t>
            </w:r>
            <w:proofErr w:type="spellStart"/>
            <w:r w:rsidRPr="009810E5">
              <w:t>azithro</w:t>
            </w:r>
            <w:proofErr w:type="spellEnd"/>
          </w:p>
        </w:tc>
        <w:tc>
          <w:tcPr>
            <w:tcW w:w="2976" w:type="dxa"/>
            <w:vAlign w:val="center"/>
          </w:tcPr>
          <w:p w:rsidR="43F0F85D" w:rsidP="43F0F85D" w:rsidRDefault="43F0F85D" w14:paraId="59F9F8C8" w14:textId="659BBA6A">
            <w:pPr>
              <w:spacing w:after="0"/>
            </w:pPr>
            <w:r>
              <w:t>12 </w:t>
            </w:r>
            <w:proofErr w:type="spellStart"/>
            <w:r>
              <w:t>mo</w:t>
            </w:r>
            <w:proofErr w:type="spellEnd"/>
            <w:r>
              <w:t xml:space="preserve"> total</w:t>
            </w:r>
          </w:p>
        </w:tc>
      </w:tr>
      <w:tr w:rsidR="43F0F85D" w:rsidTr="004C3813" w14:paraId="44BEAF22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7C2D7FBC" w14:textId="61B0635D">
            <w:pPr>
              <w:spacing w:after="0"/>
            </w:pPr>
            <w:r w:rsidRPr="43F0F85D">
              <w:rPr>
                <w:b/>
                <w:bCs/>
              </w:rPr>
              <w:t>M. </w:t>
            </w:r>
            <w:proofErr w:type="spellStart"/>
            <w:r w:rsidRPr="43F0F85D">
              <w:rPr>
                <w:b/>
                <w:bCs/>
              </w:rPr>
              <w:t>xenopi</w:t>
            </w:r>
            <w:proofErr w:type="spellEnd"/>
          </w:p>
        </w:tc>
        <w:tc>
          <w:tcPr>
            <w:tcW w:w="4111" w:type="dxa"/>
            <w:vAlign w:val="center"/>
          </w:tcPr>
          <w:p w:rsidR="0015391A" w:rsidP="43F0F85D" w:rsidRDefault="43F0F85D" w14:paraId="15FE0BE4" w14:textId="77777777">
            <w:pPr>
              <w:spacing w:after="0"/>
            </w:pPr>
            <w:r>
              <w:t xml:space="preserve">Rifampicin </w:t>
            </w:r>
          </w:p>
          <w:p w:rsidR="0015391A" w:rsidP="43F0F85D" w:rsidRDefault="43F0F85D" w14:paraId="77414FA9" w14:textId="77777777">
            <w:pPr>
              <w:spacing w:after="0"/>
            </w:pPr>
            <w:r>
              <w:t xml:space="preserve">+ ethambutol </w:t>
            </w:r>
          </w:p>
          <w:p w:rsidR="0015391A" w:rsidP="43F0F85D" w:rsidRDefault="43F0F85D" w14:paraId="722736E5" w14:textId="77777777">
            <w:pPr>
              <w:spacing w:after="0"/>
            </w:pPr>
            <w:r>
              <w:t xml:space="preserve">+ moxifloxacin/macrolide </w:t>
            </w:r>
          </w:p>
          <w:p w:rsidR="43F0F85D" w:rsidP="43F0F85D" w:rsidRDefault="43F0F85D" w14:paraId="40DF9D3E" w14:textId="1F9A010E">
            <w:pPr>
              <w:spacing w:after="0"/>
            </w:pPr>
            <w:r w:rsidRPr="43F0F85D">
              <w:rPr>
                <w:b/>
                <w:bCs/>
              </w:rPr>
              <w:t>± IV amikacin</w:t>
            </w:r>
          </w:p>
        </w:tc>
        <w:tc>
          <w:tcPr>
            <w:tcW w:w="2976" w:type="dxa"/>
            <w:vAlign w:val="center"/>
          </w:tcPr>
          <w:p w:rsidR="43F0F85D" w:rsidP="43F0F85D" w:rsidRDefault="43F0F85D" w14:paraId="381EF85F" w14:textId="0538D9A9">
            <w:pPr>
              <w:spacing w:after="0"/>
            </w:pPr>
            <w:r>
              <w:t>High relapse</w:t>
            </w:r>
          </w:p>
        </w:tc>
      </w:tr>
      <w:tr w:rsidR="43F0F85D" w:rsidTr="004C3813" w14:paraId="749D7BDA" w14:textId="77777777">
        <w:trPr>
          <w:trHeight w:val="300"/>
        </w:trPr>
        <w:tc>
          <w:tcPr>
            <w:tcW w:w="3686" w:type="dxa"/>
            <w:vAlign w:val="center"/>
          </w:tcPr>
          <w:p w:rsidR="43F0F85D" w:rsidP="43F0F85D" w:rsidRDefault="43F0F85D" w14:paraId="65B7E294" w14:textId="24A52CDA">
            <w:pPr>
              <w:spacing w:after="0"/>
            </w:pPr>
            <w:r w:rsidRPr="43F0F85D">
              <w:rPr>
                <w:b/>
                <w:bCs/>
              </w:rPr>
              <w:t>M. </w:t>
            </w:r>
            <w:proofErr w:type="spellStart"/>
            <w:r w:rsidRPr="43F0F85D">
              <w:rPr>
                <w:b/>
                <w:bCs/>
              </w:rPr>
              <w:t>abscessus</w:t>
            </w:r>
            <w:proofErr w:type="spellEnd"/>
            <w:r w:rsidRPr="43F0F85D">
              <w:rPr>
                <w:b/>
                <w:bCs/>
              </w:rPr>
              <w:t xml:space="preserve"> (erm neg)</w:t>
            </w:r>
          </w:p>
        </w:tc>
        <w:tc>
          <w:tcPr>
            <w:tcW w:w="4111" w:type="dxa"/>
            <w:vAlign w:val="center"/>
          </w:tcPr>
          <w:p w:rsidR="0015391A" w:rsidP="43F0F85D" w:rsidRDefault="43F0F85D" w14:paraId="5FA91F79" w14:textId="77777777">
            <w:pPr>
              <w:spacing w:after="0"/>
            </w:pPr>
            <w:r w:rsidRPr="43F0F85D">
              <w:rPr>
                <w:b/>
                <w:bCs/>
              </w:rPr>
              <w:t>Intensive ≥2 </w:t>
            </w:r>
            <w:proofErr w:type="spellStart"/>
            <w:r w:rsidRPr="43F0F85D">
              <w:rPr>
                <w:b/>
                <w:bCs/>
              </w:rPr>
              <w:t>mo</w:t>
            </w:r>
            <w:proofErr w:type="spellEnd"/>
            <w:r>
              <w:t xml:space="preserve">: </w:t>
            </w:r>
          </w:p>
          <w:p w:rsidR="0015391A" w:rsidP="43F0F85D" w:rsidRDefault="43F0F85D" w14:paraId="29DBECF1" w14:textId="77777777">
            <w:pPr>
              <w:spacing w:after="0"/>
            </w:pPr>
            <w:r>
              <w:t xml:space="preserve">IV amikacin </w:t>
            </w:r>
          </w:p>
          <w:p w:rsidR="0015391A" w:rsidP="43F0F85D" w:rsidRDefault="43F0F85D" w14:paraId="0FAB92AD" w14:textId="77777777">
            <w:pPr>
              <w:spacing w:after="0"/>
            </w:pPr>
            <w:r>
              <w:t xml:space="preserve">+ imipenem/cefoxitin </w:t>
            </w:r>
          </w:p>
          <w:p w:rsidR="0015391A" w:rsidP="43F0F85D" w:rsidRDefault="43F0F85D" w14:paraId="02C12CE7" w14:textId="77777777">
            <w:pPr>
              <w:spacing w:after="0"/>
            </w:pPr>
            <w:r>
              <w:t xml:space="preserve">+ </w:t>
            </w:r>
            <w:proofErr w:type="spellStart"/>
            <w:r>
              <w:t>azithro</w:t>
            </w:r>
            <w:proofErr w:type="spellEnd"/>
            <w:r>
              <w:t xml:space="preserve"> </w:t>
            </w:r>
          </w:p>
          <w:p w:rsidR="0015391A" w:rsidP="43F0F85D" w:rsidRDefault="43F0F85D" w14:paraId="1CD5E93B" w14:textId="77777777">
            <w:pPr>
              <w:spacing w:after="0"/>
            </w:pPr>
            <w:r w:rsidRPr="43F0F85D">
              <w:rPr>
                <w:b/>
                <w:bCs/>
              </w:rPr>
              <w:t>Continuation</w:t>
            </w:r>
            <w:r>
              <w:t xml:space="preserve">: </w:t>
            </w:r>
          </w:p>
          <w:p w:rsidR="0015391A" w:rsidP="43F0F85D" w:rsidRDefault="43F0F85D" w14:paraId="0D55255D" w14:textId="77777777">
            <w:pPr>
              <w:spacing w:after="0"/>
            </w:pPr>
            <w:proofErr w:type="spellStart"/>
            <w:r>
              <w:t>azithro</w:t>
            </w:r>
            <w:proofErr w:type="spellEnd"/>
            <w:r>
              <w:t xml:space="preserve"> </w:t>
            </w:r>
          </w:p>
          <w:p w:rsidR="0015391A" w:rsidP="43F0F85D" w:rsidRDefault="43F0F85D" w14:paraId="558052C3" w14:textId="77777777">
            <w:pPr>
              <w:spacing w:after="0"/>
            </w:pPr>
            <w:r>
              <w:t xml:space="preserve">+ clofazimine </w:t>
            </w:r>
          </w:p>
          <w:p w:rsidR="43F0F85D" w:rsidP="43F0F85D" w:rsidRDefault="43F0F85D" w14:paraId="7B44C7A0" w14:textId="16870966">
            <w:pPr>
              <w:spacing w:after="0"/>
            </w:pPr>
            <w:r>
              <w:t>± inhaled amikacin</w:t>
            </w:r>
          </w:p>
        </w:tc>
        <w:tc>
          <w:tcPr>
            <w:tcW w:w="2976" w:type="dxa"/>
            <w:vAlign w:val="center"/>
          </w:tcPr>
          <w:p w:rsidR="43F0F85D" w:rsidP="43F0F85D" w:rsidRDefault="43F0F85D" w14:paraId="7E8F33D8" w14:textId="6FA8EAF9">
            <w:pPr>
              <w:spacing w:after="0"/>
            </w:pPr>
            <w:r>
              <w:t>≥12 </w:t>
            </w:r>
            <w:proofErr w:type="spellStart"/>
            <w:r>
              <w:t>mo</w:t>
            </w:r>
            <w:proofErr w:type="spellEnd"/>
            <w:r>
              <w:t xml:space="preserve"> neg</w:t>
            </w:r>
          </w:p>
        </w:tc>
      </w:tr>
      <w:tr w:rsidR="43F0F85D" w:rsidTr="004C3813" w14:paraId="7467D588" w14:textId="77777777">
        <w:trPr>
          <w:trHeight w:val="300"/>
        </w:trPr>
        <w:tc>
          <w:tcPr>
            <w:tcW w:w="3686" w:type="dxa"/>
            <w:vAlign w:val="center"/>
          </w:tcPr>
          <w:p w:rsidR="002B63CC" w:rsidP="43F0F85D" w:rsidRDefault="43F0F85D" w14:paraId="144BE0D4" w14:textId="77777777">
            <w:pPr>
              <w:spacing w:after="0"/>
              <w:rPr>
                <w:b/>
                <w:bCs/>
              </w:rPr>
            </w:pPr>
            <w:r w:rsidRPr="43F0F85D">
              <w:rPr>
                <w:b/>
                <w:bCs/>
              </w:rPr>
              <w:t>M. </w:t>
            </w:r>
            <w:proofErr w:type="spellStart"/>
            <w:r w:rsidRPr="43F0F85D">
              <w:rPr>
                <w:b/>
                <w:bCs/>
              </w:rPr>
              <w:t>abscessus</w:t>
            </w:r>
            <w:proofErr w:type="spellEnd"/>
          </w:p>
          <w:p w:rsidR="43F0F85D" w:rsidP="43F0F85D" w:rsidRDefault="43F0F85D" w14:paraId="333575CB" w14:textId="4C5C844A">
            <w:pPr>
              <w:spacing w:after="0"/>
            </w:pPr>
            <w:r w:rsidRPr="43F0F85D">
              <w:rPr>
                <w:b/>
                <w:bCs/>
              </w:rPr>
              <w:t xml:space="preserve"> (erm </w:t>
            </w:r>
            <w:proofErr w:type="spellStart"/>
            <w:r w:rsidRPr="43F0F85D">
              <w:rPr>
                <w:b/>
                <w:bCs/>
              </w:rPr>
              <w:t>pos</w:t>
            </w:r>
            <w:proofErr w:type="spellEnd"/>
            <w:r w:rsidRPr="43F0F85D">
              <w:rPr>
                <w:b/>
                <w:bCs/>
              </w:rPr>
              <w:t xml:space="preserve"> / mac‑R)</w:t>
            </w:r>
          </w:p>
        </w:tc>
        <w:tc>
          <w:tcPr>
            <w:tcW w:w="4111" w:type="dxa"/>
            <w:vAlign w:val="center"/>
          </w:tcPr>
          <w:p w:rsidR="43F0F85D" w:rsidP="43F0F85D" w:rsidRDefault="43F0F85D" w14:paraId="4BA993DC" w14:textId="1196F1BA">
            <w:pPr>
              <w:spacing w:after="0"/>
            </w:pPr>
            <w:r>
              <w:t xml:space="preserve">Same IV backbone, macrolide for immunomodulation only; consider tigecycline, </w:t>
            </w:r>
            <w:proofErr w:type="spellStart"/>
            <w:r>
              <w:t>bedaquiline</w:t>
            </w:r>
            <w:proofErr w:type="spellEnd"/>
            <w:r>
              <w:t>, linezolid; surgical resection</w:t>
            </w:r>
          </w:p>
        </w:tc>
        <w:tc>
          <w:tcPr>
            <w:tcW w:w="2976" w:type="dxa"/>
            <w:vAlign w:val="center"/>
          </w:tcPr>
          <w:p w:rsidR="43F0F85D" w:rsidP="43F0F85D" w:rsidRDefault="43F0F85D" w14:paraId="7A0244E7" w14:textId="02E06960">
            <w:pPr>
              <w:spacing w:after="0"/>
            </w:pPr>
            <w:r>
              <w:t>Specialist input</w:t>
            </w:r>
          </w:p>
        </w:tc>
      </w:tr>
    </w:tbl>
    <w:p w:rsidR="00FF3FEE" w:rsidP="43F0F85D" w:rsidRDefault="010B246F" w14:paraId="0C1D64DC" w14:textId="56B7479E">
      <w:pPr>
        <w:spacing w:before="240" w:after="240"/>
      </w:pPr>
      <w:r w:rsidRPr="43F0F85D">
        <w:rPr>
          <w:rFonts w:ascii="Aptos" w:hAnsi="Aptos" w:eastAsia="Aptos" w:cs="Aptos"/>
        </w:rPr>
        <w:t xml:space="preserve">Refer also to </w:t>
      </w:r>
      <w:r w:rsidRPr="43F0F85D">
        <w:rPr>
          <w:rFonts w:ascii="Aptos" w:hAnsi="Aptos" w:eastAsia="Aptos" w:cs="Aptos"/>
          <w:b/>
          <w:bCs/>
        </w:rPr>
        <w:t>BTS Pulmonary NTM PD Guideline 2017</w:t>
      </w:r>
      <w:r w:rsidRPr="43F0F85D">
        <w:rPr>
          <w:rFonts w:ascii="Aptos" w:hAnsi="Aptos" w:eastAsia="Aptos" w:cs="Aptos"/>
        </w:rPr>
        <w:t xml:space="preserve"> for UK surgical thresholds &amp; airway clearance</w:t>
      </w:r>
    </w:p>
    <w:p w:rsidR="00FF3FEE" w:rsidP="43F0F85D" w:rsidRDefault="010B246F" w14:paraId="2B8B57C5" w14:textId="76B91D31">
      <w:pPr>
        <w:pStyle w:val="Heading3"/>
        <w:spacing w:before="281" w:after="281"/>
      </w:pPr>
      <w:proofErr w:type="gramStart"/>
      <w:r w:rsidRPr="43F0F85D">
        <w:rPr>
          <w:rFonts w:ascii="Aptos" w:hAnsi="Aptos" w:eastAsia="Aptos" w:cs="Aptos"/>
          <w:b/>
          <w:bCs/>
        </w:rPr>
        <w:lastRenderedPageBreak/>
        <w:t>6.4  Monitoring</w:t>
      </w:r>
      <w:proofErr w:type="gramEnd"/>
      <w:r w:rsidRPr="43F0F85D">
        <w:rPr>
          <w:rFonts w:ascii="Aptos" w:hAnsi="Aptos" w:eastAsia="Aptos" w:cs="Aptos"/>
          <w:b/>
          <w:bCs/>
        </w:rPr>
        <w:t xml:space="preserve"> &amp; Toxicity</w:t>
      </w:r>
    </w:p>
    <w:tbl>
      <w:tblPr>
        <w:tblW w:w="10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547"/>
        <w:gridCol w:w="4824"/>
        <w:gridCol w:w="3261"/>
      </w:tblGrid>
      <w:tr w:rsidR="43F0F85D" w:rsidTr="00D00F10" w14:paraId="79A5B15F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098E5E6A" w14:textId="256B466C">
            <w:pPr>
              <w:spacing w:after="0"/>
            </w:pPr>
            <w:r>
              <w:t>Drug</w:t>
            </w:r>
          </w:p>
        </w:tc>
        <w:tc>
          <w:tcPr>
            <w:tcW w:w="4824" w:type="dxa"/>
            <w:vAlign w:val="center"/>
          </w:tcPr>
          <w:p w:rsidR="43F0F85D" w:rsidP="43F0F85D" w:rsidRDefault="43F0F85D" w14:paraId="36182DE6" w14:textId="42B2E541">
            <w:pPr>
              <w:spacing w:after="0"/>
            </w:pPr>
            <w:r>
              <w:t>Monitoring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2355D213" w14:textId="5FEA6F28">
            <w:pPr>
              <w:spacing w:after="0"/>
            </w:pPr>
            <w:r>
              <w:t>Major toxicities</w:t>
            </w:r>
          </w:p>
        </w:tc>
      </w:tr>
      <w:tr w:rsidR="43F0F85D" w:rsidTr="00D00F10" w14:paraId="33FDCC7A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02D70507" w14:textId="30862692">
            <w:pPr>
              <w:spacing w:after="0"/>
            </w:pPr>
            <w:r>
              <w:t>Rifampicin</w:t>
            </w:r>
          </w:p>
        </w:tc>
        <w:tc>
          <w:tcPr>
            <w:tcW w:w="4824" w:type="dxa"/>
            <w:vAlign w:val="center"/>
          </w:tcPr>
          <w:p w:rsidR="00D00F10" w:rsidP="43F0F85D" w:rsidRDefault="43F0F85D" w14:paraId="3CB607E9" w14:textId="77777777">
            <w:pPr>
              <w:spacing w:after="0"/>
            </w:pPr>
            <w:r>
              <w:t xml:space="preserve">Baseline/ monthly LFT, </w:t>
            </w:r>
          </w:p>
          <w:p w:rsidR="43F0F85D" w:rsidP="43F0F85D" w:rsidRDefault="43F0F85D" w14:paraId="5ADA2679" w14:textId="3A648102">
            <w:pPr>
              <w:spacing w:after="0"/>
            </w:pPr>
            <w:r>
              <w:t>drug‐interactions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7E5B7F3D" w14:textId="3C00E00A">
            <w:pPr>
              <w:spacing w:after="0"/>
            </w:pPr>
            <w:r>
              <w:t>Hepatitis, thrombocytopenia</w:t>
            </w:r>
          </w:p>
        </w:tc>
      </w:tr>
      <w:tr w:rsidR="43F0F85D" w:rsidTr="00D00F10" w14:paraId="7A6A0B60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0D716544" w14:textId="012C59FB">
            <w:pPr>
              <w:spacing w:after="0"/>
            </w:pPr>
            <w:r>
              <w:t>Isoniazid</w:t>
            </w:r>
          </w:p>
        </w:tc>
        <w:tc>
          <w:tcPr>
            <w:tcW w:w="4824" w:type="dxa"/>
            <w:vAlign w:val="center"/>
          </w:tcPr>
          <w:p w:rsidR="00D00F10" w:rsidP="43F0F85D" w:rsidRDefault="43F0F85D" w14:paraId="4D0E5876" w14:textId="77777777">
            <w:pPr>
              <w:spacing w:after="0"/>
            </w:pPr>
            <w:r>
              <w:t xml:space="preserve">LFT, </w:t>
            </w:r>
          </w:p>
          <w:p w:rsidR="43F0F85D" w:rsidP="43F0F85D" w:rsidRDefault="43F0F85D" w14:paraId="24DE7629" w14:textId="01FFCAA9">
            <w:pPr>
              <w:spacing w:after="0"/>
            </w:pPr>
            <w:r>
              <w:t>neuropathy prophylaxis with pyridoxine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0B17FCF4" w14:textId="4B79A362">
            <w:pPr>
              <w:spacing w:after="0"/>
            </w:pPr>
            <w:r>
              <w:t>Hepatitis, neurotoxicity</w:t>
            </w:r>
          </w:p>
        </w:tc>
      </w:tr>
      <w:tr w:rsidR="43F0F85D" w:rsidTr="00D00F10" w14:paraId="709F0572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716D9213" w14:textId="0BE25BE6">
            <w:pPr>
              <w:spacing w:after="0"/>
            </w:pPr>
            <w:r>
              <w:t>Ethambutol</w:t>
            </w:r>
          </w:p>
        </w:tc>
        <w:tc>
          <w:tcPr>
            <w:tcW w:w="4824" w:type="dxa"/>
            <w:vAlign w:val="center"/>
          </w:tcPr>
          <w:p w:rsidR="43F0F85D" w:rsidP="43F0F85D" w:rsidRDefault="43F0F85D" w14:paraId="41BF8B59" w14:textId="677C8D9C">
            <w:pPr>
              <w:spacing w:after="0"/>
            </w:pPr>
            <w:r>
              <w:t>Visual acuity/colour monthly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03C57A66" w14:textId="09EC01ED">
            <w:pPr>
              <w:spacing w:after="0"/>
            </w:pPr>
            <w:r>
              <w:t>Optic neuritis</w:t>
            </w:r>
          </w:p>
        </w:tc>
      </w:tr>
      <w:tr w:rsidR="43F0F85D" w:rsidTr="00D00F10" w14:paraId="11620338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74C28D7E" w14:textId="1CC6BF6B">
            <w:pPr>
              <w:spacing w:after="0"/>
            </w:pPr>
            <w:r>
              <w:t>Pyrazinamide</w:t>
            </w:r>
          </w:p>
        </w:tc>
        <w:tc>
          <w:tcPr>
            <w:tcW w:w="4824" w:type="dxa"/>
            <w:vAlign w:val="center"/>
          </w:tcPr>
          <w:p w:rsidR="43F0F85D" w:rsidP="43F0F85D" w:rsidRDefault="43F0F85D" w14:paraId="5CFD164D" w14:textId="4AB88C37">
            <w:pPr>
              <w:spacing w:after="0"/>
            </w:pPr>
            <w:r>
              <w:t>LFT, uric acid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5CBBFB7E" w14:textId="10DDACBE">
            <w:pPr>
              <w:spacing w:after="0"/>
            </w:pPr>
            <w:r>
              <w:t>Hepatotoxicity, arthralgia</w:t>
            </w:r>
          </w:p>
        </w:tc>
      </w:tr>
      <w:tr w:rsidR="43F0F85D" w:rsidTr="00D00F10" w14:paraId="0C6377DC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01E05912" w14:textId="15D220D8">
            <w:pPr>
              <w:spacing w:after="0"/>
            </w:pPr>
            <w:proofErr w:type="spellStart"/>
            <w:r>
              <w:t>Bedaquiline</w:t>
            </w:r>
            <w:proofErr w:type="spellEnd"/>
          </w:p>
        </w:tc>
        <w:tc>
          <w:tcPr>
            <w:tcW w:w="4824" w:type="dxa"/>
            <w:vAlign w:val="center"/>
          </w:tcPr>
          <w:p w:rsidR="43F0F85D" w:rsidP="43F0F85D" w:rsidRDefault="43F0F85D" w14:paraId="0782F746" w14:textId="00E7AECD">
            <w:pPr>
              <w:spacing w:after="0"/>
            </w:pPr>
            <w:r>
              <w:t>ECG baseline &amp; monthly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21E53741" w14:textId="794EF1BA">
            <w:pPr>
              <w:spacing w:after="0"/>
            </w:pPr>
            <w:r>
              <w:t>QT prolongation</w:t>
            </w:r>
          </w:p>
        </w:tc>
      </w:tr>
      <w:tr w:rsidR="43F0F85D" w:rsidTr="00D00F10" w14:paraId="321AC65E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228A7336" w14:textId="73F17BEF">
            <w:pPr>
              <w:spacing w:after="0"/>
            </w:pPr>
            <w:r>
              <w:t>Linezolid</w:t>
            </w:r>
          </w:p>
        </w:tc>
        <w:tc>
          <w:tcPr>
            <w:tcW w:w="4824" w:type="dxa"/>
            <w:vAlign w:val="center"/>
          </w:tcPr>
          <w:p w:rsidR="00EC5013" w:rsidP="43F0F85D" w:rsidRDefault="43F0F85D" w14:paraId="20B9D131" w14:textId="77777777">
            <w:pPr>
              <w:spacing w:after="0"/>
            </w:pPr>
            <w:r>
              <w:t xml:space="preserve">Weekly FBC, </w:t>
            </w:r>
          </w:p>
          <w:p w:rsidR="43F0F85D" w:rsidP="43F0F85D" w:rsidRDefault="43F0F85D" w14:paraId="3FEE20C9" w14:textId="15134E91">
            <w:pPr>
              <w:spacing w:after="0"/>
            </w:pPr>
            <w:r>
              <w:t>visual symptoms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1B42063E" w14:textId="2A9C7624">
            <w:pPr>
              <w:spacing w:after="0"/>
            </w:pPr>
            <w:proofErr w:type="spellStart"/>
            <w:r>
              <w:t>Cytopenias</w:t>
            </w:r>
            <w:proofErr w:type="spellEnd"/>
            <w:r>
              <w:t>, neuropathy</w:t>
            </w:r>
          </w:p>
        </w:tc>
      </w:tr>
      <w:tr w:rsidR="43F0F85D" w:rsidTr="00D00F10" w14:paraId="00D5A67E" w14:textId="77777777">
        <w:trPr>
          <w:trHeight w:val="300"/>
        </w:trPr>
        <w:tc>
          <w:tcPr>
            <w:tcW w:w="2547" w:type="dxa"/>
            <w:vAlign w:val="center"/>
          </w:tcPr>
          <w:p w:rsidR="43F0F85D" w:rsidP="43F0F85D" w:rsidRDefault="43F0F85D" w14:paraId="4231B792" w14:textId="0C17FEBF">
            <w:pPr>
              <w:spacing w:after="0"/>
            </w:pPr>
            <w:r>
              <w:t>Amikacin</w:t>
            </w:r>
          </w:p>
        </w:tc>
        <w:tc>
          <w:tcPr>
            <w:tcW w:w="4824" w:type="dxa"/>
            <w:vAlign w:val="center"/>
          </w:tcPr>
          <w:p w:rsidR="00EC5013" w:rsidP="43F0F85D" w:rsidRDefault="43F0F85D" w14:paraId="57265BF7" w14:textId="4BE7C23C">
            <w:pPr>
              <w:spacing w:after="0"/>
            </w:pPr>
            <w:r>
              <w:t>Creatinine</w:t>
            </w:r>
            <w:r w:rsidR="00EC5013">
              <w:t xml:space="preserve"> monitoring</w:t>
            </w:r>
            <w:r>
              <w:t xml:space="preserve">, </w:t>
            </w:r>
          </w:p>
          <w:p w:rsidR="43F0F85D" w:rsidP="43F0F85D" w:rsidRDefault="43F0F85D" w14:paraId="3BDC92C8" w14:textId="3C926480">
            <w:pPr>
              <w:spacing w:after="0"/>
            </w:pPr>
            <w:r>
              <w:t>audiogram</w:t>
            </w:r>
          </w:p>
        </w:tc>
        <w:tc>
          <w:tcPr>
            <w:tcW w:w="3261" w:type="dxa"/>
            <w:vAlign w:val="center"/>
          </w:tcPr>
          <w:p w:rsidR="43F0F85D" w:rsidP="43F0F85D" w:rsidRDefault="43F0F85D" w14:paraId="48B4C553" w14:textId="7B93BD41">
            <w:pPr>
              <w:spacing w:after="0"/>
            </w:pPr>
            <w:proofErr w:type="spellStart"/>
            <w:r>
              <w:t>Nephro</w:t>
            </w:r>
            <w:proofErr w:type="spellEnd"/>
            <w:r>
              <w:t>‑/ototoxicity</w:t>
            </w:r>
          </w:p>
        </w:tc>
      </w:tr>
    </w:tbl>
    <w:p w:rsidR="00FF3FEE" w:rsidP="43F0F85D" w:rsidRDefault="00FF3FEE" w14:paraId="2188D555" w14:textId="19C2C888">
      <w:pPr>
        <w:spacing w:after="0"/>
      </w:pPr>
    </w:p>
    <w:p w:rsidR="00FF3FEE" w:rsidP="43F0F85D" w:rsidRDefault="010B246F" w14:paraId="4A39A778" w14:textId="5BDEF472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7  Surgery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&amp; Adjuncts</w:t>
      </w:r>
    </w:p>
    <w:p w:rsidR="00FF3FEE" w:rsidP="43F0F85D" w:rsidRDefault="010B246F" w14:paraId="1382E028" w14:textId="6CB4EFF9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Consider lobectomy/pneumonectomy for localised cavitary or mac‑R disease with good reserve.</w:t>
      </w:r>
    </w:p>
    <w:p w:rsidR="00FF3FEE" w:rsidP="43F0F85D" w:rsidRDefault="010B246F" w14:paraId="6BE58C46" w14:textId="4A0C83CE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Corticosteroids only for paradoxical IRIS.</w:t>
      </w:r>
    </w:p>
    <w:p w:rsidR="00FF3FEE" w:rsidP="43F0F85D" w:rsidRDefault="010B246F" w14:paraId="786FA5FD" w14:textId="7B1547DA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ALIS (amikacin liposome inhalation) licensed for refractory MAC.</w:t>
      </w:r>
    </w:p>
    <w:p w:rsidR="00FF3FEE" w:rsidP="43F0F85D" w:rsidRDefault="00FF3FEE" w14:paraId="056946F7" w14:textId="3AAFCC8A">
      <w:pPr>
        <w:spacing w:after="0"/>
      </w:pPr>
    </w:p>
    <w:p w:rsidR="00FF3FEE" w:rsidP="43F0F85D" w:rsidRDefault="010B246F" w14:paraId="034119DF" w14:textId="62485B01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8  Quality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 xml:space="preserve"> &amp; Accreditation (ISO 15189 hot points)</w:t>
      </w:r>
    </w:p>
    <w:p w:rsidR="00FF3FEE" w:rsidP="43F0F85D" w:rsidRDefault="010B246F" w14:paraId="4C19D478" w14:textId="1439E9FB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 xml:space="preserve">IQC logs: smear </w:t>
      </w:r>
      <w:proofErr w:type="spellStart"/>
      <w:r w:rsidRPr="43F0F85D">
        <w:rPr>
          <w:rFonts w:ascii="Aptos" w:hAnsi="Aptos" w:eastAsia="Aptos" w:cs="Aptos"/>
        </w:rPr>
        <w:t>pos</w:t>
      </w:r>
      <w:proofErr w:type="spellEnd"/>
      <w:r w:rsidRPr="43F0F85D">
        <w:rPr>
          <w:rFonts w:ascii="Aptos" w:hAnsi="Aptos" w:eastAsia="Aptos" w:cs="Aptos"/>
        </w:rPr>
        <w:t>/neg, MGIT growth control, lot acceptance.</w:t>
      </w:r>
    </w:p>
    <w:p w:rsidR="00FF3FEE" w:rsidP="43F0F85D" w:rsidRDefault="010B246F" w14:paraId="17A105E8" w14:textId="638AEF1B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Contamination index ≤5 % (liquid); action if &gt; 10 %.</w:t>
      </w:r>
    </w:p>
    <w:p w:rsidR="00FF3FEE" w:rsidP="43F0F85D" w:rsidRDefault="010B246F" w14:paraId="56ADD443" w14:textId="4B686C36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Staff competency, risk assessments, annual CL3 airflow validation.</w:t>
      </w:r>
    </w:p>
    <w:p w:rsidR="00FF3FEE" w:rsidP="43F0F85D" w:rsidRDefault="00FF3FEE" w14:paraId="203594FB" w14:textId="1EB99AEC">
      <w:pPr>
        <w:spacing w:after="0"/>
      </w:pPr>
    </w:p>
    <w:p w:rsidR="00FF3FEE" w:rsidP="43F0F85D" w:rsidRDefault="010B246F" w14:paraId="74FD6676" w14:textId="11310283">
      <w:pPr>
        <w:pStyle w:val="Heading2"/>
        <w:spacing w:before="299" w:after="299"/>
      </w:pPr>
      <w:proofErr w:type="gramStart"/>
      <w:r w:rsidRPr="43F0F85D">
        <w:rPr>
          <w:rFonts w:ascii="Aptos" w:hAnsi="Aptos" w:eastAsia="Aptos" w:cs="Aptos"/>
          <w:b/>
          <w:bCs/>
          <w:sz w:val="36"/>
          <w:szCs w:val="36"/>
        </w:rPr>
        <w:t>9  High</w:t>
      </w:r>
      <w:proofErr w:type="gramEnd"/>
      <w:r w:rsidRPr="43F0F85D">
        <w:rPr>
          <w:rFonts w:ascii="Aptos" w:hAnsi="Aptos" w:eastAsia="Aptos" w:cs="Aptos"/>
          <w:b/>
          <w:bCs/>
          <w:sz w:val="36"/>
          <w:szCs w:val="36"/>
        </w:rPr>
        <w:t>‑Yield Exam Pearls</w:t>
      </w:r>
    </w:p>
    <w:p w:rsidR="00FF3FEE" w:rsidP="43F0F85D" w:rsidRDefault="010B246F" w14:paraId="421B45C2" w14:textId="31EA7E3E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NALC–NaOH ≤15 min</w:t>
      </w:r>
      <w:r w:rsidRPr="43F0F85D">
        <w:rPr>
          <w:rFonts w:ascii="Aptos" w:hAnsi="Aptos" w:eastAsia="Aptos" w:cs="Aptos"/>
        </w:rPr>
        <w:t xml:space="preserve"> – most mycobacteria survive.</w:t>
      </w:r>
    </w:p>
    <w:p w:rsidR="00FF3FEE" w:rsidP="43F0F85D" w:rsidRDefault="010B246F" w14:paraId="2849E0B6" w14:textId="0AF5D5A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i/>
          <w:iCs/>
        </w:rPr>
        <w:t xml:space="preserve">M. </w:t>
      </w:r>
      <w:proofErr w:type="spellStart"/>
      <w:r w:rsidRPr="43F0F85D">
        <w:rPr>
          <w:rFonts w:ascii="Aptos" w:hAnsi="Aptos" w:eastAsia="Aptos" w:cs="Aptos"/>
          <w:i/>
          <w:iCs/>
        </w:rPr>
        <w:t>kansasii</w:t>
      </w:r>
      <w:proofErr w:type="spellEnd"/>
      <w:r w:rsidRPr="43F0F85D">
        <w:rPr>
          <w:rFonts w:ascii="Aptos" w:hAnsi="Aptos" w:eastAsia="Aptos" w:cs="Aptos"/>
        </w:rPr>
        <w:t xml:space="preserve"> = photochromogen, nitrate +, </w:t>
      </w:r>
      <w:proofErr w:type="spellStart"/>
      <w:r w:rsidRPr="43F0F85D">
        <w:rPr>
          <w:rFonts w:ascii="Aptos" w:hAnsi="Aptos" w:eastAsia="Aptos" w:cs="Aptos"/>
        </w:rPr>
        <w:t>rif</w:t>
      </w:r>
      <w:proofErr w:type="spellEnd"/>
      <w:r w:rsidRPr="43F0F85D">
        <w:rPr>
          <w:rFonts w:ascii="Aptos" w:hAnsi="Aptos" w:eastAsia="Aptos" w:cs="Aptos"/>
        </w:rPr>
        <w:t>‑S.</w:t>
      </w:r>
    </w:p>
    <w:p w:rsidR="00FF3FEE" w:rsidP="43F0F85D" w:rsidRDefault="010B246F" w14:paraId="5F00B13A" w14:textId="7A33A5C1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 xml:space="preserve">Inducible </w:t>
      </w:r>
      <w:proofErr w:type="gramStart"/>
      <w:r w:rsidRPr="43F0F85D">
        <w:rPr>
          <w:rFonts w:ascii="Aptos" w:hAnsi="Aptos" w:eastAsia="Aptos" w:cs="Aptos"/>
          <w:b/>
          <w:bCs/>
        </w:rPr>
        <w:t>erm(</w:t>
      </w:r>
      <w:proofErr w:type="gramEnd"/>
      <w:r w:rsidRPr="43F0F85D">
        <w:rPr>
          <w:rFonts w:ascii="Aptos" w:hAnsi="Aptos" w:eastAsia="Aptos" w:cs="Aptos"/>
          <w:b/>
          <w:bCs/>
        </w:rPr>
        <w:t>41)</w:t>
      </w:r>
      <w:r w:rsidRPr="43F0F85D">
        <w:rPr>
          <w:rFonts w:ascii="Aptos" w:hAnsi="Aptos" w:eastAsia="Aptos" w:cs="Aptos"/>
        </w:rPr>
        <w:t xml:space="preserve"> causes macrolide R in </w:t>
      </w:r>
      <w:r w:rsidRPr="43F0F85D">
        <w:rPr>
          <w:rFonts w:ascii="Aptos" w:hAnsi="Aptos" w:eastAsia="Aptos" w:cs="Aptos"/>
          <w:i/>
          <w:iCs/>
        </w:rPr>
        <w:t>M. </w:t>
      </w:r>
      <w:proofErr w:type="spellStart"/>
      <w:r w:rsidRPr="43F0F85D">
        <w:rPr>
          <w:rFonts w:ascii="Aptos" w:hAnsi="Aptos" w:eastAsia="Aptos" w:cs="Aptos"/>
          <w:i/>
          <w:iCs/>
        </w:rPr>
        <w:t>abscessus</w:t>
      </w:r>
      <w:proofErr w:type="spellEnd"/>
      <w:r w:rsidRPr="43F0F85D">
        <w:rPr>
          <w:rFonts w:ascii="Aptos" w:hAnsi="Aptos" w:eastAsia="Aptos" w:cs="Aptos"/>
        </w:rPr>
        <w:t xml:space="preserve"> after 14 d incubation.</w:t>
      </w:r>
    </w:p>
    <w:p w:rsidR="00FF3FEE" w:rsidP="43F0F85D" w:rsidRDefault="010B246F" w14:paraId="17DDC53A" w14:textId="244C6C7E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  <w:b/>
          <w:bCs/>
        </w:rPr>
        <w:t>Xpert Ultra ‘trace’</w:t>
      </w:r>
      <w:r w:rsidRPr="43F0F85D">
        <w:rPr>
          <w:rFonts w:ascii="Aptos" w:hAnsi="Aptos" w:eastAsia="Aptos" w:cs="Aptos"/>
        </w:rPr>
        <w:t xml:space="preserve"> → treat as TB if high pre‑test probability.</w:t>
      </w:r>
    </w:p>
    <w:p w:rsidR="00FF3FEE" w:rsidP="43F0F85D" w:rsidRDefault="010B246F" w14:paraId="51365A23" w14:textId="126730B1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proofErr w:type="spellStart"/>
      <w:r w:rsidRPr="43F0F85D">
        <w:rPr>
          <w:rFonts w:ascii="Aptos" w:hAnsi="Aptos" w:eastAsia="Aptos" w:cs="Aptos"/>
          <w:b/>
          <w:bCs/>
        </w:rPr>
        <w:t>BPaLM</w:t>
      </w:r>
      <w:proofErr w:type="spellEnd"/>
      <w:r w:rsidRPr="43F0F85D">
        <w:rPr>
          <w:rFonts w:ascii="Aptos" w:hAnsi="Aptos" w:eastAsia="Aptos" w:cs="Aptos"/>
        </w:rPr>
        <w:t xml:space="preserve"> now first‑line for MDR/RR‑TB in adults ≥14 y.</w:t>
      </w:r>
    </w:p>
    <w:p w:rsidR="00FF3FEE" w:rsidP="43F0F85D" w:rsidRDefault="010B246F" w14:paraId="76E3FF58" w14:textId="4239A18C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MGIT PZA false‑R if pH &gt;6 or inoculum &gt;0.5 </w:t>
      </w:r>
      <w:proofErr w:type="spellStart"/>
      <w:r w:rsidRPr="43F0F85D">
        <w:rPr>
          <w:rFonts w:ascii="Aptos" w:hAnsi="Aptos" w:eastAsia="Aptos" w:cs="Aptos"/>
        </w:rPr>
        <w:t>McF</w:t>
      </w:r>
      <w:proofErr w:type="spellEnd"/>
      <w:r w:rsidRPr="43F0F85D">
        <w:rPr>
          <w:rFonts w:ascii="Aptos" w:hAnsi="Aptos" w:eastAsia="Aptos" w:cs="Aptos"/>
        </w:rPr>
        <w:t>.</w:t>
      </w:r>
    </w:p>
    <w:p w:rsidR="00FF3FEE" w:rsidP="43F0F85D" w:rsidRDefault="010B246F" w14:paraId="2B8523A6" w14:textId="096947C0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Visual monitor ethambutol if &gt;15 mg/kg or paediatric.</w:t>
      </w:r>
    </w:p>
    <w:p w:rsidR="00FF3FEE" w:rsidP="43F0F85D" w:rsidRDefault="010B246F" w14:paraId="679080D6" w14:textId="338A63E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WGS SNP distance ≤5 suggests recent transmission in UKHSA algorithm.</w:t>
      </w:r>
    </w:p>
    <w:p w:rsidR="00FF3FEE" w:rsidP="43F0F85D" w:rsidRDefault="00FF3FEE" w14:paraId="2CDBA3EE" w14:textId="607D1BFE">
      <w:pPr>
        <w:spacing w:after="0"/>
      </w:pPr>
    </w:p>
    <w:p w:rsidR="00FF3FEE" w:rsidP="43F0F85D" w:rsidRDefault="010B246F" w14:paraId="408EC4CE" w14:textId="2A0FE487">
      <w:pPr>
        <w:pStyle w:val="Heading3"/>
        <w:spacing w:before="281" w:after="281"/>
      </w:pPr>
      <w:r w:rsidRPr="43F0F85D">
        <w:rPr>
          <w:rFonts w:ascii="Aptos" w:hAnsi="Aptos" w:eastAsia="Aptos" w:cs="Aptos"/>
          <w:b/>
          <w:bCs/>
        </w:rPr>
        <w:t>Key Documents to Read</w:t>
      </w:r>
    </w:p>
    <w:p w:rsidR="00FF3FEE" w:rsidP="43F0F85D" w:rsidRDefault="010B246F" w14:paraId="59B41787" w14:textId="4A8BDEDB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UK‑SMI B 40 i7.3 (Oct 2020)</w:t>
      </w:r>
    </w:p>
    <w:p w:rsidR="00FF3FEE" w:rsidP="43F0F85D" w:rsidRDefault="010B246F" w14:paraId="627DD126" w14:textId="0D05AEBA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WHO TB Consolidated Guidelines – Module 3 (Mar 2024) &amp; Module 4 (Apr 2025)</w:t>
      </w:r>
    </w:p>
    <w:p w:rsidR="00FF3FEE" w:rsidP="43F0F85D" w:rsidRDefault="010B246F" w14:paraId="60AAC063" w14:textId="628B4576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NICE NG33 Tuberculosis (Feb 2024 update)</w:t>
      </w:r>
    </w:p>
    <w:p w:rsidR="00FF3FEE" w:rsidP="43F0F85D" w:rsidRDefault="010B246F" w14:paraId="53A65119" w14:textId="45EB8D22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ATS/ERS/ESCMID/IDSA NTM Guideline 2020 (ciaa241)</w:t>
      </w:r>
    </w:p>
    <w:p w:rsidR="00FF3FEE" w:rsidP="43F0F85D" w:rsidRDefault="010B246F" w14:paraId="2816FFCD" w14:textId="63C75F9F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BTS Guideline 2017 – NTM Pulmonary Disease</w:t>
      </w:r>
    </w:p>
    <w:p w:rsidR="00FF3FEE" w:rsidP="43F0F85D" w:rsidRDefault="010B246F" w14:paraId="58C0A5C4" w14:textId="510C58DA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  <w:i/>
          <w:iCs/>
        </w:rPr>
      </w:pPr>
      <w:r w:rsidRPr="43F0F85D">
        <w:rPr>
          <w:rFonts w:ascii="Aptos" w:hAnsi="Aptos" w:eastAsia="Aptos" w:cs="Aptos"/>
        </w:rPr>
        <w:t xml:space="preserve">CLSI M24‑A4 2024 – Susceptibility Testing of </w:t>
      </w:r>
      <w:r w:rsidRPr="43F0F85D">
        <w:rPr>
          <w:rFonts w:ascii="Aptos" w:hAnsi="Aptos" w:eastAsia="Aptos" w:cs="Aptos"/>
          <w:i/>
          <w:iCs/>
        </w:rPr>
        <w:t>Mycobacteria</w:t>
      </w:r>
    </w:p>
    <w:p w:rsidR="00FF3FEE" w:rsidP="43F0F85D" w:rsidRDefault="010B246F" w14:paraId="6AEE7DF1" w14:textId="194BAA8C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43F0F85D">
        <w:rPr>
          <w:rFonts w:ascii="Aptos" w:hAnsi="Aptos" w:eastAsia="Aptos" w:cs="Aptos"/>
        </w:rPr>
        <w:t>UKHSA TB WGS &amp; Cluster Investigation Handbook 2022</w:t>
      </w:r>
    </w:p>
    <w:p w:rsidR="00FF3FEE" w:rsidRDefault="00FF3FEE" w14:paraId="5E5787A5" w14:textId="4CADDD60"/>
    <w:sectPr w:rsidR="00FF3FEE" w:rsidSect="00DA3427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3B8E"/>
    <w:multiLevelType w:val="hybridMultilevel"/>
    <w:tmpl w:val="FFFFFFFF"/>
    <w:lvl w:ilvl="0" w:tplc="17F0CE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949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9A6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0A5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E6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1641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E07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888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0E4D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FA96F"/>
    <w:multiLevelType w:val="hybridMultilevel"/>
    <w:tmpl w:val="FFFFFFFF"/>
    <w:lvl w:ilvl="0" w:tplc="A03208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301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C04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BAA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8260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1A3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5E3A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E28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65C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E91262"/>
    <w:multiLevelType w:val="hybridMultilevel"/>
    <w:tmpl w:val="FFFFFFFF"/>
    <w:lvl w:ilvl="0" w:tplc="09B0E8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88CA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58A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66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4682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66AB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48C3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CCB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1400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51FCF8"/>
    <w:multiLevelType w:val="hybridMultilevel"/>
    <w:tmpl w:val="FFFFFFFF"/>
    <w:lvl w:ilvl="0" w:tplc="0FA6B7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7C4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7000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820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6400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706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8D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8E1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28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6143C9"/>
    <w:multiLevelType w:val="hybridMultilevel"/>
    <w:tmpl w:val="FFFFFFFF"/>
    <w:lvl w:ilvl="0" w:tplc="73424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047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E9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58C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A8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92C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82B1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5E9E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F8D1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B494DE"/>
    <w:multiLevelType w:val="hybridMultilevel"/>
    <w:tmpl w:val="FFFFFFFF"/>
    <w:lvl w:ilvl="0" w:tplc="D18C61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5AD7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C2E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E0A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C85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C9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766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D6F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7EF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10B09F"/>
    <w:multiLevelType w:val="hybridMultilevel"/>
    <w:tmpl w:val="FFFFFFFF"/>
    <w:lvl w:ilvl="0" w:tplc="FB3E29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8CF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CD6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0CC3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604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7A8E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A07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D45E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B43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40703C"/>
    <w:multiLevelType w:val="hybridMultilevel"/>
    <w:tmpl w:val="FFFFFFFF"/>
    <w:lvl w:ilvl="0" w:tplc="3F0AE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CCA7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84B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60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D2F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E2B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2C0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0237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3E7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ABC356"/>
    <w:multiLevelType w:val="hybridMultilevel"/>
    <w:tmpl w:val="FFFFFFFF"/>
    <w:lvl w:ilvl="0" w:tplc="61A8FB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02EC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266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46E5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5C4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F0EF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4A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6E4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E3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01F8D6"/>
    <w:multiLevelType w:val="hybridMultilevel"/>
    <w:tmpl w:val="FFFFFFFF"/>
    <w:lvl w:ilvl="0" w:tplc="24B0E35E">
      <w:start w:val="1"/>
      <w:numFmt w:val="decimal"/>
      <w:lvlText w:val="%1."/>
      <w:lvlJc w:val="left"/>
      <w:pPr>
        <w:ind w:left="720" w:hanging="360"/>
      </w:pPr>
    </w:lvl>
    <w:lvl w:ilvl="1" w:tplc="168676DE">
      <w:start w:val="1"/>
      <w:numFmt w:val="lowerLetter"/>
      <w:lvlText w:val="%2."/>
      <w:lvlJc w:val="left"/>
      <w:pPr>
        <w:ind w:left="1440" w:hanging="360"/>
      </w:pPr>
    </w:lvl>
    <w:lvl w:ilvl="2" w:tplc="AA9A625C">
      <w:start w:val="1"/>
      <w:numFmt w:val="lowerRoman"/>
      <w:lvlText w:val="%3."/>
      <w:lvlJc w:val="right"/>
      <w:pPr>
        <w:ind w:left="2160" w:hanging="180"/>
      </w:pPr>
    </w:lvl>
    <w:lvl w:ilvl="3" w:tplc="E98C5D78">
      <w:start w:val="1"/>
      <w:numFmt w:val="decimal"/>
      <w:lvlText w:val="%4."/>
      <w:lvlJc w:val="left"/>
      <w:pPr>
        <w:ind w:left="2880" w:hanging="360"/>
      </w:pPr>
    </w:lvl>
    <w:lvl w:ilvl="4" w:tplc="2662EC96">
      <w:start w:val="1"/>
      <w:numFmt w:val="lowerLetter"/>
      <w:lvlText w:val="%5."/>
      <w:lvlJc w:val="left"/>
      <w:pPr>
        <w:ind w:left="3600" w:hanging="360"/>
      </w:pPr>
    </w:lvl>
    <w:lvl w:ilvl="5" w:tplc="E4D446E2">
      <w:start w:val="1"/>
      <w:numFmt w:val="lowerRoman"/>
      <w:lvlText w:val="%6."/>
      <w:lvlJc w:val="right"/>
      <w:pPr>
        <w:ind w:left="4320" w:hanging="180"/>
      </w:pPr>
    </w:lvl>
    <w:lvl w:ilvl="6" w:tplc="B04E3B88">
      <w:start w:val="1"/>
      <w:numFmt w:val="decimal"/>
      <w:lvlText w:val="%7."/>
      <w:lvlJc w:val="left"/>
      <w:pPr>
        <w:ind w:left="5040" w:hanging="360"/>
      </w:pPr>
    </w:lvl>
    <w:lvl w:ilvl="7" w:tplc="527A8D6C">
      <w:start w:val="1"/>
      <w:numFmt w:val="lowerLetter"/>
      <w:lvlText w:val="%8."/>
      <w:lvlJc w:val="left"/>
      <w:pPr>
        <w:ind w:left="5760" w:hanging="360"/>
      </w:pPr>
    </w:lvl>
    <w:lvl w:ilvl="8" w:tplc="E9AE3F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11D95"/>
    <w:multiLevelType w:val="hybridMultilevel"/>
    <w:tmpl w:val="FFFFFFFF"/>
    <w:lvl w:ilvl="0" w:tplc="2A541D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5439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30E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187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2D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C4D1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C01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028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90A2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CC3730"/>
    <w:multiLevelType w:val="hybridMultilevel"/>
    <w:tmpl w:val="FFFFFFFF"/>
    <w:lvl w:ilvl="0" w:tplc="18FA6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64C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D8A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26DB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709D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2A6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742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7084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B09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3450818">
    <w:abstractNumId w:val="8"/>
  </w:num>
  <w:num w:numId="2" w16cid:durableId="1255089697">
    <w:abstractNumId w:val="7"/>
  </w:num>
  <w:num w:numId="3" w16cid:durableId="1370766214">
    <w:abstractNumId w:val="6"/>
  </w:num>
  <w:num w:numId="4" w16cid:durableId="1382053361">
    <w:abstractNumId w:val="9"/>
  </w:num>
  <w:num w:numId="5" w16cid:durableId="1651330367">
    <w:abstractNumId w:val="5"/>
  </w:num>
  <w:num w:numId="6" w16cid:durableId="1756971989">
    <w:abstractNumId w:val="3"/>
  </w:num>
  <w:num w:numId="7" w16cid:durableId="191652795">
    <w:abstractNumId w:val="0"/>
  </w:num>
  <w:num w:numId="8" w16cid:durableId="2099211950">
    <w:abstractNumId w:val="2"/>
  </w:num>
  <w:num w:numId="9" w16cid:durableId="481393503">
    <w:abstractNumId w:val="10"/>
  </w:num>
  <w:num w:numId="10" w16cid:durableId="753550412">
    <w:abstractNumId w:val="1"/>
  </w:num>
  <w:num w:numId="11" w16cid:durableId="838278180">
    <w:abstractNumId w:val="4"/>
  </w:num>
  <w:num w:numId="12" w16cid:durableId="878933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0CB2E9"/>
    <w:rsid w:val="0009735E"/>
    <w:rsid w:val="00136064"/>
    <w:rsid w:val="0015391A"/>
    <w:rsid w:val="00173BC6"/>
    <w:rsid w:val="001A743E"/>
    <w:rsid w:val="001E6763"/>
    <w:rsid w:val="002121EC"/>
    <w:rsid w:val="002B63CC"/>
    <w:rsid w:val="003C3824"/>
    <w:rsid w:val="003E5C9D"/>
    <w:rsid w:val="003F7F0C"/>
    <w:rsid w:val="004C3813"/>
    <w:rsid w:val="004C721F"/>
    <w:rsid w:val="0058610D"/>
    <w:rsid w:val="00713E54"/>
    <w:rsid w:val="00731728"/>
    <w:rsid w:val="008047CF"/>
    <w:rsid w:val="008455EA"/>
    <w:rsid w:val="008D0DE0"/>
    <w:rsid w:val="00966E46"/>
    <w:rsid w:val="009810E5"/>
    <w:rsid w:val="00AB699D"/>
    <w:rsid w:val="00C2428C"/>
    <w:rsid w:val="00CC1656"/>
    <w:rsid w:val="00D00F10"/>
    <w:rsid w:val="00D2017E"/>
    <w:rsid w:val="00DA3427"/>
    <w:rsid w:val="00EC5013"/>
    <w:rsid w:val="00FA1265"/>
    <w:rsid w:val="00FE1B4E"/>
    <w:rsid w:val="00FE2AD6"/>
    <w:rsid w:val="00FF3FEE"/>
    <w:rsid w:val="010B246F"/>
    <w:rsid w:val="43F0F85D"/>
    <w:rsid w:val="500CB2E9"/>
    <w:rsid w:val="5E6DC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B2E9"/>
  <w15:chartTrackingRefBased/>
  <w15:docId w15:val="{A88F7926-BC69-4419-9681-DD1EF491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43F0F85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3F0F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3F0F85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25</revision>
  <lastPrinted>2025-07-26T12:03:00.0000000Z</lastPrinted>
  <dcterms:created xsi:type="dcterms:W3CDTF">2025-07-26T12:03:00.0000000Z</dcterms:created>
  <dcterms:modified xsi:type="dcterms:W3CDTF">2025-07-26T18:08:45.1632794Z</dcterms:modified>
</coreProperties>
</file>