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1382FF" wp14:paraId="46279770" wp14:textId="7B2681F1">
      <w:pPr>
        <w:pStyle w:val="Heading1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2D1382FF" w:rsidR="01381A74">
        <w:rPr>
          <w:noProof w:val="0"/>
          <w:lang w:val="en-GB"/>
        </w:rPr>
        <w:t>Pasteurella</w:t>
      </w:r>
    </w:p>
    <w:p xmlns:wp14="http://schemas.microsoft.com/office/word/2010/wordml" w:rsidP="2D1382FF" wp14:paraId="5E9927CA" wp14:textId="45DDFC95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2D1382FF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1) Taxonomy &amp; medically important species</w:t>
      </w:r>
    </w:p>
    <w:p xmlns:wp14="http://schemas.microsoft.com/office/word/2010/wordml" w:rsidP="7A9ABFBC" wp14:paraId="28AA4458" wp14:textId="2B2BBC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Family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Pasteurellaceae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(incl. Pasteurella, Actinobacillus, Aggregatibacter, Avibacterium, Bibersteinia, Mannheimia, etc.). </w:t>
      </w:r>
    </w:p>
    <w:p xmlns:wp14="http://schemas.microsoft.com/office/word/2010/wordml" w:rsidP="7A9ABFBC" wp14:paraId="6EA2597F" wp14:textId="0009D2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multocida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is the type species; </w:t>
      </w:r>
    </w:p>
    <w:p xmlns:wp14="http://schemas.microsoft.com/office/word/2010/wordml" w:rsidP="7A9ABFBC" wp14:paraId="37D3DE3C" wp14:textId="7508A48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several former “Pasteurella” now in other genera (e.g.,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P. haemolytica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→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Mannheimia haemolytica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P. trehalosi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→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Bibersteinia trehalosi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). </w:t>
      </w:r>
    </w:p>
    <w:p xmlns:wp14="http://schemas.microsoft.com/office/word/2010/wordml" w:rsidP="7A9ABFBC" wp14:paraId="5A833411" wp14:textId="15DAD7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Human-relevant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Pasteurella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multocida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canis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pneumotropica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(common); [less common: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dagmatis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stomatis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aerogenes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bettyae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caballi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oralis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. ]</w:t>
      </w:r>
    </w:p>
    <w:p xmlns:wp14="http://schemas.microsoft.com/office/word/2010/wordml" w:rsidP="7A9ABFBC" wp14:paraId="284D97B7" wp14:textId="5D6971E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2) Ecology &amp; transmission</w:t>
      </w:r>
    </w:p>
    <w:p xmlns:wp14="http://schemas.microsoft.com/office/word/2010/wordml" w:rsidP="7A9ABFBC" wp14:paraId="1DEFAC2B" wp14:textId="1639C40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Animal oral/URT commensals—especially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cats and dogs</w:t>
      </w:r>
    </w:p>
    <w:p xmlns:wp14="http://schemas.microsoft.com/office/word/2010/wordml" w:rsidP="7A9ABFBC" wp14:paraId="72BE762B" wp14:textId="273910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human infection after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bites, scratches or saliva contamination</w:t>
      </w:r>
    </w:p>
    <w:p xmlns:wp14="http://schemas.microsoft.com/office/word/2010/wordml" w:rsidP="7A9ABFBC" wp14:paraId="2E9257FF" wp14:textId="3BA51EC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3BBA927B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Can spread to cause bacteraemia and septic arthritis/OM </w:t>
      </w:r>
    </w:p>
    <w:p xmlns:wp14="http://schemas.microsoft.com/office/word/2010/wordml" w:rsidP="7A9ABFBC" wp14:paraId="7095380E" wp14:textId="29C37F0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3BBA927B">
        <w:rPr>
          <w:rFonts w:ascii="Aptos" w:hAnsi="Aptos" w:eastAsia="Aptos" w:cs="Aptos"/>
          <w:noProof w:val="0"/>
          <w:sz w:val="20"/>
          <w:szCs w:val="20"/>
          <w:lang w:val="en-GB"/>
        </w:rPr>
        <w:t>Endocarditis and meningitis rare</w:t>
      </w:r>
    </w:p>
    <w:p xmlns:wp14="http://schemas.microsoft.com/office/word/2010/wordml" w:rsidP="7A9ABFBC" wp14:paraId="1D8293FB" wp14:textId="619B87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also respiratory disease in underlying lung pathology.  </w:t>
      </w:r>
    </w:p>
    <w:p xmlns:wp14="http://schemas.microsoft.com/office/word/2010/wordml" w:rsidP="7A9ABFBC" wp14:paraId="5EEBAD06" wp14:textId="4580754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3) Virulence &amp; pathogenesis (viva angles)</w:t>
      </w:r>
    </w:p>
    <w:p xmlns:wp14="http://schemas.microsoft.com/office/word/2010/wordml" w:rsidP="7A9ABFBC" wp14:paraId="6D7B6DD8" wp14:textId="46CECCB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Capsule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LOS/LPS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outer-membrane proteins; some strains carry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toxA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(toxigenic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P. multocida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—PCR detectable). </w:t>
      </w:r>
    </w:p>
    <w:p xmlns:wp14="http://schemas.microsoft.com/office/word/2010/wordml" w:rsidP="7A9ABFBC" wp14:paraId="1AD79B71" wp14:textId="4BA46DD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5) Bench microbiology (what you’ll see)</w:t>
      </w:r>
    </w:p>
    <w:p xmlns:wp14="http://schemas.microsoft.com/office/word/2010/wordml" w:rsidP="7A9ABFBC" wp14:paraId="60BBC98D" wp14:textId="77E801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Microscopy: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A9ABFBC" wp14:paraId="069F9B78" wp14:textId="7E7D247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small GN coccobacilli; </w:t>
      </w:r>
    </w:p>
    <w:p xmlns:wp14="http://schemas.microsoft.com/office/word/2010/wordml" w:rsidP="7A9ABFBC" wp14:paraId="44783335" wp14:textId="67161D6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bipolar staining common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;</w:t>
      </w:r>
    </w:p>
    <w:p xmlns:wp14="http://schemas.microsoft.com/office/word/2010/wordml" w:rsidP="7A9ABFBC" wp14:paraId="4069337A" wp14:textId="3F53A99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capsules may be present.</w:t>
      </w:r>
    </w:p>
    <w:p xmlns:wp14="http://schemas.microsoft.com/office/word/2010/wordml" w:rsidP="7A9ABFBC" wp14:paraId="73E4FD59" wp14:textId="3719B0F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Actinobacillus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can show a “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Morse-code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” Gram look. </w:t>
      </w:r>
    </w:p>
    <w:p xmlns:wp14="http://schemas.microsoft.com/office/word/2010/wordml" w:rsidP="7A9ABFBC" wp14:paraId="1B8923F8" wp14:textId="2ADA65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Primary isolation: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A9ABFBC" wp14:paraId="545FBC6A" wp14:textId="6F81311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blood agar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5–10% CO₂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35–37 °C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16–48 h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</w:p>
    <w:p xmlns:wp14="http://schemas.microsoft.com/office/word/2010/wordml" w:rsidP="7A9ABFBC" wp14:paraId="6742AEDC" wp14:textId="61E369E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Colonies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grey, viscous, non-haemolytic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; “mucinous/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H. influenzae-like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” odour; rough variants occur. </w:t>
      </w:r>
    </w:p>
    <w:p xmlns:wp14="http://schemas.microsoft.com/office/word/2010/wordml" w:rsidP="7A9ABFBC" wp14:paraId="3405DA71" wp14:textId="76F34E2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 satellitism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/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 X/V dependence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(helps separate from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Haemophilus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).</w:t>
      </w:r>
    </w:p>
    <w:p xmlns:wp14="http://schemas.microsoft.com/office/word/2010/wordml" w:rsidP="7A9ABFBC" wp14:paraId="2F5DA284" wp14:textId="39C79FB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MacConkey/CLED: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most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Pasteurella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(and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Avibacterium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)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do not grow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</w:p>
    <w:p xmlns:wp14="http://schemas.microsoft.com/office/word/2010/wordml" w:rsidP="7A9ABFBC" wp14:paraId="6FA6D72E" wp14:textId="6806A8A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Actinobacillus spp.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aerogenes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grow on MacConkey</w:t>
      </w:r>
    </w:p>
    <w:p xmlns:wp14="http://schemas.microsoft.com/office/word/2010/wordml" w:rsidP="7A9ABFBC" wp14:paraId="7E184A72" wp14:textId="0FBABE4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6) Biochemical profile &amp; species pointers (exam-useful)</w:t>
      </w:r>
    </w:p>
    <w:p xmlns:wp14="http://schemas.microsoft.com/office/word/2010/wordml" w:rsidP="7A9ABFBC" wp14:paraId="6B4C86F9" wp14:textId="027A7E2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Genus pattern:</w:t>
      </w:r>
    </w:p>
    <w:p xmlns:wp14="http://schemas.microsoft.com/office/word/2010/wordml" w:rsidP="7A9ABFBC" wp14:paraId="3571F35A" wp14:textId="2F2A94F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oxidase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catalase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nitrate +</w:t>
      </w:r>
    </w:p>
    <w:p xmlns:wp14="http://schemas.microsoft.com/office/word/2010/wordml" w:rsidP="7A9ABFBC" wp14:paraId="6BFD356B" wp14:textId="393F7B76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5644B5B9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bettyae and P. caballi are catalase negaive</w:t>
      </w:r>
    </w:p>
    <w:p xmlns:wp14="http://schemas.microsoft.com/office/word/2010/wordml" w:rsidP="7A9ABFBC" wp14:paraId="396178C7" wp14:textId="042C6E6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fermentative (acid, no gas) </w:t>
      </w:r>
    </w:p>
    <w:p xmlns:wp14="http://schemas.microsoft.com/office/word/2010/wordml" w:rsidP="7A9ABFBC" wp14:paraId="3D40E0F5" wp14:textId="0F20B24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canis: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ODC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urease −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biotype 1 indole + / biotype 2 indole −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dog-mouth commensal, bite wounds. </w:t>
      </w:r>
    </w:p>
    <w:p xmlns:wp14="http://schemas.microsoft.com/office/word/2010/wordml" w:rsidP="7A9ABFBC" wp14:paraId="257D462E" wp14:textId="16051ACB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dagmatis: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urease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indole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ODC −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acid from maltose (trehalose usually +). </w:t>
      </w:r>
    </w:p>
    <w:p xmlns:wp14="http://schemas.microsoft.com/office/word/2010/wordml" w:rsidP="7A9ABFBC" wp14:paraId="22146DE8" wp14:textId="5455177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stomatis: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typically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ODC −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urease −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dog-bite wounds. </w:t>
      </w:r>
    </w:p>
    <w:p xmlns:wp14="http://schemas.microsoft.com/office/word/2010/wordml" w:rsidP="7A9ABFBC" wp14:paraId="6C59538B" wp14:textId="0B7EA30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pneumotropica: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1 mm, non-haemolytic;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 MacConkey growth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strong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H. influenzae-like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odour. </w:t>
      </w:r>
    </w:p>
    <w:p xmlns:wp14="http://schemas.microsoft.com/office/word/2010/wordml" w:rsidP="7A9ABFBC" wp14:paraId="401AC178" wp14:textId="7BB1FF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aerogenes: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grows on MacConkey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catalase +, indole +, urease +; porphyrin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</w:p>
    <w:p xmlns:wp14="http://schemas.microsoft.com/office/word/2010/wordml" w:rsidP="7A9ABFBC" wp14:paraId="14F0BDF6" wp14:textId="7252872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bettyae: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small, slow carbohydrate reactions;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oxidase −, catalase −, urease −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</w:p>
    <w:p xmlns:wp14="http://schemas.microsoft.com/office/word/2010/wordml" w:rsidP="7A9ABFBC" wp14:paraId="0E0404CA" wp14:textId="2A798C4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Mini-crib: quick differentiation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654"/>
        <w:gridCol w:w="702"/>
        <w:gridCol w:w="533"/>
        <w:gridCol w:w="2029"/>
        <w:gridCol w:w="2970"/>
      </w:tblGrid>
      <w:tr w:rsidR="6B83B10B" w:rsidTr="7A9ABFBC" w14:paraId="7677CF53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3D7C4A3E" w14:textId="6E32A34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Species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1FFB14A9" w14:textId="68EC7EF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Indole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4B21ED5C" w14:textId="14DD581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Urease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0F19C2C7" w14:textId="3A1BEAB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ODC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6D736DE7" w14:textId="758A4EC0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MacConkey growth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7153B6E4" w14:textId="4B9AE143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Pearl</w:t>
            </w:r>
          </w:p>
        </w:tc>
      </w:tr>
      <w:tr w:rsidR="6B83B10B" w:rsidTr="7A9ABFBC" w14:paraId="5AE0200E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76B33EE5" w14:textId="256F38D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P. canis</w:t>
            </w:r>
            <w:r w:rsidRPr="7A9ABFBC" w:rsidR="6B83B10B">
              <w:rPr>
                <w:sz w:val="20"/>
                <w:szCs w:val="20"/>
              </w:rPr>
              <w:t xml:space="preserve"> (bio1/2)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263D7C8F" w14:textId="36AFE7E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+ / −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48EC1175" w14:textId="679835D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23755A52" w14:textId="71CBAFD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+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2B66B531" w14:textId="56326E4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4A12CB39" w14:textId="508C036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 xml:space="preserve">Dog mouth; bite wounds. </w:t>
            </w:r>
          </w:p>
        </w:tc>
      </w:tr>
      <w:tr w:rsidR="6B83B10B" w:rsidTr="7A9ABFBC" w14:paraId="2957FF0C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70820F77" w14:textId="60FBA51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P. dagmatis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22E5D09C" w14:textId="6BD7EE60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+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034356A0" w14:textId="2B261616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+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03BF37BC" w14:textId="74DA4C2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29CF3FBA" w14:textId="6A35320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03443BD3" w14:textId="58FF60F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 xml:space="preserve">Maltose +; trehalose usually +. </w:t>
            </w:r>
          </w:p>
        </w:tc>
      </w:tr>
      <w:tr w:rsidR="6B83B10B" w:rsidTr="7A9ABFBC" w14:paraId="110627C6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26870E70" w14:textId="054F876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P. stomatis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67C1781C" w14:textId="4537B0F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(±)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0EAB65A3" w14:textId="63BA6DA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721B0E7F" w14:textId="0B9D302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0D1CBCD6" w14:textId="0D04632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−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1FCC9FF9" w14:textId="2B9940E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 xml:space="preserve">Dog-bite context. </w:t>
            </w:r>
          </w:p>
        </w:tc>
      </w:tr>
      <w:tr w:rsidR="6B83B10B" w:rsidTr="7A9ABFBC" w14:paraId="7043BF90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60EA1910" w14:textId="659EED1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P. pneumotropica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5F5D348B" w14:textId="43352D9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—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36FB3B2A" w14:textId="61CDB49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—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6987515A" w14:textId="0DF9A32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—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6B1DBA6D" w14:textId="5ED89DC6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No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37B48CB9" w14:textId="35F3092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 xml:space="preserve">1 mm grey; odour; no MAC. </w:t>
            </w:r>
          </w:p>
        </w:tc>
      </w:tr>
      <w:tr w:rsidR="6B83B10B" w:rsidTr="7A9ABFBC" w14:paraId="2D855F9A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288F8BCD" w14:textId="596BB0D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P. aerogenes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6E8ACE04" w14:textId="64D962CA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+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453169C8" w14:textId="7D438E2F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+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5A049086" w14:textId="57E986C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—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041ED9BC" w14:textId="242EEF4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Yes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57CC6731" w14:textId="6722A8F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 xml:space="preserve">Porphyrin +. </w:t>
            </w:r>
          </w:p>
        </w:tc>
      </w:tr>
      <w:tr w:rsidR="6B83B10B" w:rsidTr="7A9ABFBC" w14:paraId="60DBF17A">
        <w:trPr>
          <w:trHeight w:val="300"/>
        </w:trPr>
        <w:tc>
          <w:tcPr>
            <w:tcW w:w="1800" w:type="dxa"/>
            <w:tcMar/>
            <w:vAlign w:val="center"/>
          </w:tcPr>
          <w:p w:rsidR="6B83B10B" w:rsidP="7A9ABFBC" w:rsidRDefault="6B83B10B" w14:paraId="1BEDE4D8" w14:textId="162E12BB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P. bettyae</w:t>
            </w:r>
          </w:p>
        </w:tc>
        <w:tc>
          <w:tcPr>
            <w:tcW w:w="654" w:type="dxa"/>
            <w:tcMar/>
            <w:vAlign w:val="center"/>
          </w:tcPr>
          <w:p w:rsidR="6B83B10B" w:rsidP="7A9ABFBC" w:rsidRDefault="6B83B10B" w14:paraId="3BCE0AE4" w14:textId="6F98145F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−</w:t>
            </w:r>
          </w:p>
        </w:tc>
        <w:tc>
          <w:tcPr>
            <w:tcW w:w="702" w:type="dxa"/>
            <w:tcMar/>
            <w:vAlign w:val="center"/>
          </w:tcPr>
          <w:p w:rsidR="6B83B10B" w:rsidP="7A9ABFBC" w:rsidRDefault="6B83B10B" w14:paraId="5F9A282B" w14:textId="08D9E432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7A9ABFBC" w:rsidR="6B83B10B">
              <w:rPr>
                <w:b w:val="1"/>
                <w:bCs w:val="1"/>
                <w:sz w:val="20"/>
                <w:szCs w:val="20"/>
              </w:rPr>
              <w:t>−</w:t>
            </w:r>
          </w:p>
        </w:tc>
        <w:tc>
          <w:tcPr>
            <w:tcW w:w="533" w:type="dxa"/>
            <w:tcMar/>
            <w:vAlign w:val="center"/>
          </w:tcPr>
          <w:p w:rsidR="6B83B10B" w:rsidP="7A9ABFBC" w:rsidRDefault="6B83B10B" w14:paraId="11528BE2" w14:textId="137975E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—</w:t>
            </w:r>
          </w:p>
        </w:tc>
        <w:tc>
          <w:tcPr>
            <w:tcW w:w="2029" w:type="dxa"/>
            <w:tcMar/>
            <w:vAlign w:val="center"/>
          </w:tcPr>
          <w:p w:rsidR="6B83B10B" w:rsidP="7A9ABFBC" w:rsidRDefault="6B83B10B" w14:paraId="60A2A986" w14:textId="06492C3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>—</w:t>
            </w:r>
          </w:p>
        </w:tc>
        <w:tc>
          <w:tcPr>
            <w:tcW w:w="2970" w:type="dxa"/>
            <w:tcMar/>
            <w:vAlign w:val="center"/>
          </w:tcPr>
          <w:p w:rsidR="6B83B10B" w:rsidP="7A9ABFBC" w:rsidRDefault="6B83B10B" w14:paraId="7BE4840E" w14:textId="6A3AB1B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7A9ABFBC" w:rsidR="6B83B10B">
              <w:rPr>
                <w:sz w:val="20"/>
                <w:szCs w:val="20"/>
              </w:rPr>
              <w:t xml:space="preserve">Oxidase −, catalase −. </w:t>
            </w:r>
          </w:p>
        </w:tc>
      </w:tr>
    </w:tbl>
    <w:p xmlns:wp14="http://schemas.microsoft.com/office/word/2010/wordml" w:rsidP="7A9ABFBC" wp14:paraId="4DF2D743" wp14:textId="204225B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7) Look-alikes you must separate (from SMI flowchart)</w:t>
      </w:r>
    </w:p>
    <w:p xmlns:wp14="http://schemas.microsoft.com/office/word/2010/wordml" w:rsidP="7A9ABFBC" wp14:paraId="7E97CA19" wp14:textId="54E02B3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Mannheimia/Bibersteinia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often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β-haemolytic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on bovine blood; small grey colonies (fresh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M. haemolytica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shows clear β-haemolysis). </w:t>
      </w:r>
    </w:p>
    <w:p xmlns:wp14="http://schemas.microsoft.com/office/word/2010/wordml" w:rsidP="7A9ABFBC" wp14:paraId="042A6E3F" wp14:textId="410012AE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Actinobacillus spp.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most grow on MacConkey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(except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A. pleuropneumoniae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/some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A. suis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);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A. ureae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is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urease +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and Pasteurella-like in humans (think respiratory isolates).</w:t>
      </w:r>
    </w:p>
    <w:p xmlns:wp14="http://schemas.microsoft.com/office/word/2010/wordml" w:rsidP="7A9ABFBC" wp14:paraId="3519C8A4" wp14:textId="60C45E7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Avibacterium spp.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butyrous, opaque colonies on sheep blood;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 MacConkey growth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</w:p>
    <w:p xmlns:wp14="http://schemas.microsoft.com/office/word/2010/wordml" w:rsidP="7A9ABFBC" wp14:paraId="133515F4" wp14:textId="6A591EAC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SMI algorithm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Gram GN coccobacilli → oxidase/catalase (note exceptions) →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penicillin disc zone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→ consider MAC behaviour &amp; colony haemolysis →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MALDI-TOF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/confirmatory tests. </w:t>
      </w:r>
    </w:p>
    <w:p xmlns:wp14="http://schemas.microsoft.com/office/word/2010/wordml" w:rsidP="7A9ABFBC" wp14:paraId="133209E8" wp14:textId="50D80A17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8) Identification &amp; typing (modern methods)</w:t>
      </w:r>
    </w:p>
    <w:p xmlns:wp14="http://schemas.microsoft.com/office/word/2010/wordml" w:rsidP="7A9ABFBC" wp14:paraId="71694432" wp14:textId="28892CE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MALDI-TOF MS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recommended—rapid, accurate for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P. multocida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practical alternative to 16S sequencing for difficult isolates. </w:t>
      </w:r>
    </w:p>
    <w:p xmlns:wp14="http://schemas.microsoft.com/office/word/2010/wordml" w:rsidP="7A9ABFBC" wp14:paraId="21A4C736" wp14:textId="515A7B0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NAATs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: PCR for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multocida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/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M. haemolytica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toxA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PCR (toxigenic </w:t>
      </w:r>
      <w:r w:rsidRPr="7A9ABFBC" w:rsidR="01381A74">
        <w:rPr>
          <w:rFonts w:ascii="Aptos" w:hAnsi="Aptos" w:eastAsia="Aptos" w:cs="Aptos"/>
          <w:i w:val="1"/>
          <w:iCs w:val="1"/>
          <w:noProof w:val="0"/>
          <w:sz w:val="20"/>
          <w:szCs w:val="20"/>
          <w:lang w:val="en-GB"/>
        </w:rPr>
        <w:t>P. multocida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);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P. pneumotropica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16S rDNA PCR. </w:t>
      </w:r>
    </w:p>
    <w:p xmlns:wp14="http://schemas.microsoft.com/office/word/2010/wordml" w:rsidP="7A9ABFBC" wp14:paraId="132D7365" wp14:textId="14C9D32B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Advanced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(mainly reference labs):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16S rDNA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sodA sequencing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MLSA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ribotyping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—useful for tricky identifications/epidemiology. </w:t>
      </w:r>
    </w:p>
    <w:p xmlns:wp14="http://schemas.microsoft.com/office/word/2010/wordml" w:rsidP="7A9ABFBC" wp14:paraId="070DB2DB" wp14:textId="763F5078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9) Susceptibility &amp; therapy (exam-level summary)</w:t>
      </w:r>
    </w:p>
    <w:p xmlns:wp14="http://schemas.microsoft.com/office/word/2010/wordml" w:rsidP="7A9ABFBC" wp14:paraId="724FD61D" wp14:textId="75D4FE6A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Typically penicillin-susceptible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(hence the disc screening tip). For bite-wound empiric cover use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amoxicillin–clavulanate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to cover mixed flora; de-escalate to a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narrow β-lactam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once Pasteurella confirmed and source controlled. (Apply local AST/EUCAST.) </w:t>
      </w:r>
    </w:p>
    <w:p xmlns:wp14="http://schemas.microsoft.com/office/word/2010/wordml" w:rsidP="7A9ABFBC" wp14:paraId="591AC613" wp14:textId="3442A849">
      <w:pPr>
        <w:pStyle w:val="Heading2"/>
        <w:bidi w:val="0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10) Safety, reporting &amp; referral (SMI expectations)</w:t>
      </w:r>
    </w:p>
    <w:p xmlns:wp14="http://schemas.microsoft.com/office/word/2010/wordml" w:rsidP="7A9ABFBC" wp14:paraId="3FA42327" wp14:textId="3D93225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Hazard Group 2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two LAIs historically reported—use MSC for aerosol-generating steps and follow local COSHH. </w:t>
      </w:r>
    </w:p>
    <w:p xmlns:wp14="http://schemas.microsoft.com/office/word/2010/wordml" w:rsidP="7A9ABFBC" wp14:paraId="69BC8016" wp14:textId="4410FA9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Report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promptly if from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normally sterile sites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follow local protocols for clinician notification and public-health reporting responsibilities;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retain isolate on a blood-agar slope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if referral needed (reference lab contacts provided).</w:t>
      </w:r>
    </w:p>
    <w:p xmlns:wp14="http://schemas.microsoft.com/office/word/2010/wordml" w:rsidP="7A9ABFBC" wp14:paraId="49C89F41" wp14:textId="4C02BEBA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Viva takeaways (say these out loud)</w:t>
      </w:r>
    </w:p>
    <w:p xmlns:wp14="http://schemas.microsoft.com/office/word/2010/wordml" w:rsidP="7A9ABFBC" wp14:paraId="60EAF26A" wp14:textId="3E2C1C93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Grey, non-haemolytic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no MacConkey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,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penicillin-susceptible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→ think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Pasteurella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β-haemolysis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nudges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Mannheimia/Bibersteinia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. </w:t>
      </w:r>
    </w:p>
    <w:p xmlns:wp14="http://schemas.microsoft.com/office/word/2010/wordml" w:rsidP="7A9ABFBC" wp14:paraId="4F8AB3D9" wp14:textId="5E8BBE51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Don’t forget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A. ureae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(urease + Pasteurella-like human respiratory organism). </w:t>
      </w:r>
    </w:p>
    <w:p xmlns:wp14="http://schemas.microsoft.com/office/word/2010/wordml" w:rsidP="7A9ABFBC" wp14:paraId="7AA666BC" wp14:textId="3B2EED6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MALDI-TOF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for routine ID; </w:t>
      </w:r>
      <w:r w:rsidRPr="7A9ABFBC" w:rsidR="01381A74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GB"/>
        </w:rPr>
        <w:t>PCR/16S/sodA/MLSA</w:t>
      </w: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 xml:space="preserve"> if unresolved or for typing.</w:t>
      </w:r>
    </w:p>
    <w:p xmlns:wp14="http://schemas.microsoft.com/office/word/2010/wordml" w:rsidP="7A9ABFBC" wp14:paraId="37BF088B" wp14:textId="436743A9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7A9ABFBC" w:rsidR="01381A74">
        <w:rPr>
          <w:rFonts w:ascii="Aptos" w:hAnsi="Aptos" w:eastAsia="Aptos" w:cs="Aptos"/>
          <w:noProof w:val="0"/>
          <w:sz w:val="20"/>
          <w:szCs w:val="20"/>
          <w:lang w:val="en-GB"/>
        </w:rPr>
        <w:t>Want this as a one-page PDF crib (with the mini-table formatted for print)? I can generate it.</w:t>
      </w:r>
    </w:p>
    <w:p xmlns:wp14="http://schemas.microsoft.com/office/word/2010/wordml" w:rsidP="7A9ABFBC" wp14:paraId="5E5787A5" wp14:textId="0CEC9DF3">
      <w:pPr>
        <w:rPr>
          <w:sz w:val="20"/>
          <w:szCs w:val="2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01004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df3d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e30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9de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732e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494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567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73a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cd4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4d2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64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B6811"/>
    <w:rsid w:val="01381A74"/>
    <w:rsid w:val="112B6811"/>
    <w:rsid w:val="15B9D001"/>
    <w:rsid w:val="15B9D001"/>
    <w:rsid w:val="2D1382FF"/>
    <w:rsid w:val="3BBA927B"/>
    <w:rsid w:val="3C67C018"/>
    <w:rsid w:val="44980EDC"/>
    <w:rsid w:val="5644B5B9"/>
    <w:rsid w:val="5B8DE875"/>
    <w:rsid w:val="68AA8E56"/>
    <w:rsid w:val="6B83B10B"/>
    <w:rsid w:val="6ED102D1"/>
    <w:rsid w:val="7A99F589"/>
    <w:rsid w:val="7A9AB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6811"/>
  <w15:chartTrackingRefBased/>
  <w15:docId w15:val="{F87B7CC0-FE74-4E0C-8116-AF072E284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B83B10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B83B10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B83B10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B83B10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93670c4eaf44b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4</revision>
  <dcterms:created xsi:type="dcterms:W3CDTF">2025-08-10T21:53:19.0747190Z</dcterms:created>
  <dcterms:modified xsi:type="dcterms:W3CDTF">2025-10-07T08:25:14.9663780Z</dcterms:modified>
</coreProperties>
</file>