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24F8C3" wp14:paraId="78510DC7" wp14:textId="3560CA79">
      <w:pPr>
        <w:pStyle w:val="Heading1"/>
      </w:pPr>
      <w:r w:rsidRPr="4524F8C3" w:rsidR="27D8ADF6">
        <w:rPr>
          <w:noProof w:val="0"/>
          <w:lang w:val="en-GB"/>
        </w:rPr>
        <w:t>Pertussis</w:t>
      </w:r>
    </w:p>
    <w:p xmlns:wp14="http://schemas.microsoft.com/office/word/2010/wordml" w:rsidP="5E462D29" wp14:paraId="0D2D0FA9" wp14:textId="1508BE6C">
      <w:pPr>
        <w:pStyle w:val="Heading4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 | Disease &amp; Natural History</w:t>
      </w:r>
    </w:p>
    <w:p xmlns:wp14="http://schemas.microsoft.com/office/word/2010/wordml" w:rsidP="5E462D29" wp14:paraId="034BBC0A" wp14:textId="52ADE9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Bordetella pertussis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(rarely </w:t>
      </w:r>
      <w:r w:rsidRPr="5E462D29" w:rsidR="27D8AD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 parapertussis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, not vaccine‑preventable). Illness: catarrhal → paroxysmal cough/“whoop” lasting ≥2 – 3 m; apnoea common in infants .</w:t>
      </w:r>
    </w:p>
    <w:p xmlns:wp14="http://schemas.microsoft.com/office/word/2010/wordml" w:rsidP="5E462D29" wp14:paraId="7D9253D2" wp14:textId="4DAC30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Complications: bronchopneumonia, weight‑loss, cerebral hypoxia; deaths mainly in unvaccinated &lt;6 m .</w:t>
      </w:r>
    </w:p>
    <w:p xmlns:wp14="http://schemas.microsoft.com/office/word/2010/wordml" w:rsidP="5E462D29" wp14:paraId="39AECE98" wp14:textId="08327A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Incubation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6 – 20 d; infectious from day –6 of catarrhal phase to 3 w after paroxysms .</w:t>
      </w:r>
    </w:p>
    <w:p xmlns:wp14="http://schemas.microsoft.com/office/word/2010/wordml" wp14:paraId="0DD6804C" wp14:textId="1AE3AC3E"/>
    <w:p xmlns:wp14="http://schemas.microsoft.com/office/word/2010/wordml" w:rsidP="5E462D29" wp14:paraId="725E07D8" wp14:textId="5D079161">
      <w:pPr>
        <w:pStyle w:val="Heading4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 | UK Epidemiology &amp; Maternal‑programme Impact</w:t>
      </w:r>
    </w:p>
    <w:tbl>
      <w:tblPr>
        <w:tblStyle w:val="TableNormal"/>
        <w:bidiVisual w:val="0"/>
        <w:tblW w:w="10599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805"/>
        <w:gridCol w:w="2355"/>
        <w:gridCol w:w="2251"/>
        <w:gridCol w:w="3188"/>
      </w:tblGrid>
      <w:tr w:rsidR="5E462D29" w:rsidTr="4524F8C3" w14:paraId="64BED9FD">
        <w:trPr>
          <w:trHeight w:val="300"/>
        </w:trPr>
        <w:tc>
          <w:tcPr>
            <w:tcW w:w="2805" w:type="dxa"/>
            <w:tcMar/>
            <w:vAlign w:val="center"/>
          </w:tcPr>
          <w:p w:rsidR="5E462D29" w:rsidP="5E462D29" w:rsidRDefault="5E462D29" w14:paraId="4C507AEE" w14:textId="1A1BFCC3">
            <w:pPr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Year / period</w:t>
            </w:r>
          </w:p>
        </w:tc>
        <w:tc>
          <w:tcPr>
            <w:tcW w:w="2355" w:type="dxa"/>
            <w:tcMar/>
            <w:vAlign w:val="center"/>
          </w:tcPr>
          <w:p w:rsidR="5E462D29" w:rsidP="5E462D29" w:rsidRDefault="5E462D29" w14:paraId="437C20CF" w14:textId="6CD0181E">
            <w:pPr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Key event</w:t>
            </w:r>
          </w:p>
        </w:tc>
        <w:tc>
          <w:tcPr>
            <w:tcW w:w="2251" w:type="dxa"/>
            <w:tcMar/>
            <w:vAlign w:val="center"/>
          </w:tcPr>
          <w:p w:rsidR="5E462D29" w:rsidP="5E462D29" w:rsidRDefault="5E462D29" w14:paraId="719228D0" w14:textId="17EEC58A">
            <w:pPr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Lab‑confirmed cases</w:t>
            </w:r>
          </w:p>
        </w:tc>
        <w:tc>
          <w:tcPr>
            <w:tcW w:w="3188" w:type="dxa"/>
            <w:tcMar/>
            <w:vAlign w:val="center"/>
          </w:tcPr>
          <w:p w:rsidR="5E462D29" w:rsidP="5E462D29" w:rsidRDefault="5E462D29" w14:paraId="4A9C8B1A" w14:textId="72FAEE7D">
            <w:pPr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Infant deaths</w:t>
            </w:r>
          </w:p>
        </w:tc>
      </w:tr>
      <w:tr w:rsidR="5E462D29" w:rsidTr="4524F8C3" w14:paraId="759AD998">
        <w:trPr>
          <w:trHeight w:val="300"/>
        </w:trPr>
        <w:tc>
          <w:tcPr>
            <w:tcW w:w="2805" w:type="dxa"/>
            <w:tcMar/>
            <w:vAlign w:val="center"/>
          </w:tcPr>
          <w:p w:rsidR="5E462D29" w:rsidP="5E462D29" w:rsidRDefault="5E462D29" w14:paraId="78570407" w14:textId="0E95A288">
            <w:pPr>
              <w:spacing w:before="0" w:beforeAutospacing="off" w:after="0" w:afterAutospacing="off"/>
            </w:pPr>
            <w:r w:rsidR="5E462D29">
              <w:rPr/>
              <w:t>1950s (pre‑vax)</w:t>
            </w:r>
          </w:p>
        </w:tc>
        <w:tc>
          <w:tcPr>
            <w:tcW w:w="2355" w:type="dxa"/>
            <w:tcMar/>
            <w:vAlign w:val="center"/>
          </w:tcPr>
          <w:p w:rsidR="5E462D29" w:rsidP="5E462D29" w:rsidRDefault="5E462D29" w14:paraId="5489E9CE" w14:textId="4893014D">
            <w:pPr>
              <w:spacing w:before="0" w:beforeAutospacing="off" w:after="0" w:afterAutospacing="off"/>
            </w:pPr>
            <w:r w:rsidR="5E462D29">
              <w:rPr/>
              <w:t>Baseline</w:t>
            </w:r>
          </w:p>
        </w:tc>
        <w:tc>
          <w:tcPr>
            <w:tcW w:w="2251" w:type="dxa"/>
            <w:tcMar/>
            <w:vAlign w:val="center"/>
          </w:tcPr>
          <w:p w:rsidR="5E462D29" w:rsidP="5E462D29" w:rsidRDefault="5E462D29" w14:paraId="7194498D" w14:textId="7D74F258">
            <w:pPr>
              <w:spacing w:before="0" w:beforeAutospacing="off" w:after="0" w:afterAutospacing="off"/>
            </w:pPr>
            <w:r w:rsidR="5E462D29">
              <w:rPr/>
              <w:t>&gt;120 000 / yr</w:t>
            </w:r>
          </w:p>
        </w:tc>
        <w:tc>
          <w:tcPr>
            <w:tcW w:w="3188" w:type="dxa"/>
            <w:tcMar/>
            <w:vAlign w:val="center"/>
          </w:tcPr>
          <w:p w:rsidR="5E462D29" w:rsidP="5E462D29" w:rsidRDefault="5E462D29" w14:paraId="0D65413A" w14:textId="621A2650">
            <w:pPr>
              <w:spacing w:before="0" w:beforeAutospacing="off" w:after="0" w:afterAutospacing="off"/>
            </w:pPr>
            <w:r w:rsidR="5E462D29">
              <w:rPr/>
              <w:t>100s</w:t>
            </w:r>
          </w:p>
        </w:tc>
      </w:tr>
      <w:tr w:rsidR="5E462D29" w:rsidTr="4524F8C3" w14:paraId="0C56AA3B">
        <w:trPr>
          <w:trHeight w:val="300"/>
        </w:trPr>
        <w:tc>
          <w:tcPr>
            <w:tcW w:w="2805" w:type="dxa"/>
            <w:tcMar/>
            <w:vAlign w:val="center"/>
          </w:tcPr>
          <w:p w:rsidR="5E462D29" w:rsidP="5E462D29" w:rsidRDefault="5E462D29" w14:paraId="78EBADD7" w14:textId="223C7033">
            <w:pPr>
              <w:spacing w:before="0" w:beforeAutospacing="off" w:after="0" w:afterAutospacing="off"/>
            </w:pPr>
            <w:r w:rsidR="5E462D29">
              <w:rPr/>
              <w:t>1978 (coverage ≈ 30 %)</w:t>
            </w:r>
          </w:p>
        </w:tc>
        <w:tc>
          <w:tcPr>
            <w:tcW w:w="2355" w:type="dxa"/>
            <w:tcMar/>
            <w:vAlign w:val="center"/>
          </w:tcPr>
          <w:p w:rsidR="5E462D29" w:rsidP="5E462D29" w:rsidRDefault="5E462D29" w14:paraId="60777B1F" w14:textId="59BF844B">
            <w:pPr>
              <w:spacing w:before="0" w:beforeAutospacing="off" w:after="0" w:afterAutospacing="off"/>
            </w:pPr>
            <w:r w:rsidR="5E462D29">
              <w:rPr/>
              <w:t>Whole‑cell scare</w:t>
            </w:r>
          </w:p>
        </w:tc>
        <w:tc>
          <w:tcPr>
            <w:tcW w:w="2251" w:type="dxa"/>
            <w:tcMar/>
            <w:vAlign w:val="center"/>
          </w:tcPr>
          <w:p w:rsidR="5E462D29" w:rsidP="5E462D29" w:rsidRDefault="5E462D29" w14:paraId="1A70A613" w14:textId="4E2C2BBA">
            <w:pPr>
              <w:spacing w:before="0" w:beforeAutospacing="off" w:after="0" w:afterAutospacing="off"/>
            </w:pPr>
            <w:r w:rsidR="5E462D29">
              <w:rPr/>
              <w:t>65 000</w:t>
            </w:r>
          </w:p>
        </w:tc>
        <w:tc>
          <w:tcPr>
            <w:tcW w:w="3188" w:type="dxa"/>
            <w:tcMar/>
            <w:vAlign w:val="center"/>
          </w:tcPr>
          <w:p w:rsidR="5E462D29" w:rsidP="5E462D29" w:rsidRDefault="5E462D29" w14:paraId="38D38868" w14:textId="21068B3A">
            <w:pPr>
              <w:spacing w:before="0" w:beforeAutospacing="off" w:after="0" w:afterAutospacing="off"/>
            </w:pPr>
            <w:r w:rsidR="5E462D29">
              <w:rPr/>
              <w:t>12</w:t>
            </w:r>
          </w:p>
        </w:tc>
      </w:tr>
      <w:tr w:rsidR="5E462D29" w:rsidTr="4524F8C3" w14:paraId="037924F6">
        <w:trPr>
          <w:trHeight w:val="300"/>
        </w:trPr>
        <w:tc>
          <w:tcPr>
            <w:tcW w:w="2805" w:type="dxa"/>
            <w:tcMar/>
            <w:vAlign w:val="center"/>
          </w:tcPr>
          <w:p w:rsidR="5E462D29" w:rsidP="5E462D29" w:rsidRDefault="5E462D29" w14:paraId="243B0B7C" w14:textId="41D84129">
            <w:pPr>
              <w:spacing w:before="0" w:beforeAutospacing="off" w:after="0" w:afterAutospacing="off"/>
            </w:pPr>
            <w:r w:rsidR="5E462D29">
              <w:rPr/>
              <w:t>2012 outbreak</w:t>
            </w:r>
          </w:p>
        </w:tc>
        <w:tc>
          <w:tcPr>
            <w:tcW w:w="2355" w:type="dxa"/>
            <w:tcMar/>
            <w:vAlign w:val="center"/>
          </w:tcPr>
          <w:p w:rsidR="5E462D29" w:rsidP="5E462D29" w:rsidRDefault="5E462D29" w14:paraId="78452498" w14:textId="7F7BA566">
            <w:pPr>
              <w:spacing w:before="0" w:beforeAutospacing="off" w:after="0" w:afterAutospacing="off"/>
            </w:pPr>
            <w:r w:rsidR="5E462D29">
              <w:rPr/>
              <w:t>Triggered antenatal programme</w:t>
            </w:r>
          </w:p>
        </w:tc>
        <w:tc>
          <w:tcPr>
            <w:tcW w:w="2251" w:type="dxa"/>
            <w:tcMar/>
            <w:vAlign w:val="center"/>
          </w:tcPr>
          <w:p w:rsidR="5E462D29" w:rsidP="5E462D29" w:rsidRDefault="5E462D29" w14:paraId="7C319124" w14:textId="00A14583">
            <w:pPr>
              <w:spacing w:before="0" w:beforeAutospacing="off" w:after="0" w:afterAutospacing="off"/>
            </w:pPr>
            <w:r w:rsidR="5E462D29">
              <w:rPr/>
              <w:t>Surge</w:t>
            </w:r>
          </w:p>
        </w:tc>
        <w:tc>
          <w:tcPr>
            <w:tcW w:w="3188" w:type="dxa"/>
            <w:tcMar/>
            <w:vAlign w:val="center"/>
          </w:tcPr>
          <w:p w:rsidR="5E462D29" w:rsidP="5E462D29" w:rsidRDefault="5E462D29" w14:paraId="329361EC" w14:textId="55C4188C">
            <w:pPr>
              <w:spacing w:before="0" w:beforeAutospacing="off" w:after="0" w:afterAutospacing="off"/>
            </w:pPr>
            <w:r w:rsidR="5E462D29">
              <w:rPr/>
              <w:t>14 (2012)</w:t>
            </w:r>
          </w:p>
        </w:tc>
      </w:tr>
      <w:tr w:rsidR="5E462D29" w:rsidTr="4524F8C3" w14:paraId="4FA9F281">
        <w:trPr>
          <w:trHeight w:val="300"/>
        </w:trPr>
        <w:tc>
          <w:tcPr>
            <w:tcW w:w="2805" w:type="dxa"/>
            <w:tcMar/>
            <w:vAlign w:val="center"/>
          </w:tcPr>
          <w:p w:rsidR="5E462D29" w:rsidP="5E462D29" w:rsidRDefault="5E462D29" w14:paraId="2AB34B7C" w14:textId="70696028">
            <w:pPr>
              <w:spacing w:before="0" w:beforeAutospacing="off" w:after="0" w:afterAutospacing="off"/>
            </w:pPr>
            <w:r w:rsidR="5E462D29">
              <w:rPr/>
              <w:t>2013‑Dec 2024</w:t>
            </w:r>
          </w:p>
        </w:tc>
        <w:tc>
          <w:tcPr>
            <w:tcW w:w="2355" w:type="dxa"/>
            <w:tcMar/>
            <w:vAlign w:val="center"/>
          </w:tcPr>
          <w:p w:rsidR="5E462D29" w:rsidP="5E462D29" w:rsidRDefault="5E462D29" w14:paraId="294C06E9" w14:textId="3501F7D9">
            <w:pPr>
              <w:spacing w:before="0" w:beforeAutospacing="off" w:after="0" w:afterAutospacing="off"/>
            </w:pPr>
            <w:r w:rsidR="5E462D29">
              <w:rPr/>
              <w:t>Maternal programme</w:t>
            </w:r>
          </w:p>
        </w:tc>
        <w:tc>
          <w:tcPr>
            <w:tcW w:w="2251" w:type="dxa"/>
            <w:tcMar/>
            <w:vAlign w:val="center"/>
          </w:tcPr>
          <w:p w:rsidR="5E462D29" w:rsidP="5E462D29" w:rsidRDefault="5E462D29" w14:paraId="4498911B" w14:textId="76636D45">
            <w:pPr>
              <w:spacing w:before="0" w:beforeAutospacing="off" w:after="0" w:afterAutospacing="off"/>
            </w:pPr>
            <w:r w:rsidR="5E462D29">
              <w:rPr/>
              <w:t>Variable cyclical peaks; Q1 2024 &gt;2012</w:t>
            </w:r>
          </w:p>
        </w:tc>
        <w:tc>
          <w:tcPr>
            <w:tcW w:w="3188" w:type="dxa"/>
            <w:tcMar/>
            <w:vAlign w:val="center"/>
          </w:tcPr>
          <w:p w:rsidR="5E462D29" w:rsidP="5E462D29" w:rsidRDefault="5E462D29" w14:paraId="7D18B082" w14:textId="5808192A">
            <w:pPr>
              <w:spacing w:before="0" w:beforeAutospacing="off" w:after="0" w:afterAutospacing="off"/>
            </w:pPr>
            <w:r w:rsidRPr="5E462D29" w:rsidR="5E462D29">
              <w:rPr>
                <w:b w:val="1"/>
                <w:bCs w:val="1"/>
              </w:rPr>
              <w:t>31</w:t>
            </w:r>
            <w:r w:rsidR="5E462D29">
              <w:rPr/>
              <w:t xml:space="preserve"> deaths (vs 63 in 12 y pre‑programme)</w:t>
            </w:r>
          </w:p>
        </w:tc>
      </w:tr>
      <w:tr w:rsidR="5E462D29" w:rsidTr="4524F8C3" w14:paraId="2800FDCA">
        <w:trPr>
          <w:trHeight w:val="300"/>
        </w:trPr>
        <w:tc>
          <w:tcPr>
            <w:tcW w:w="2805" w:type="dxa"/>
            <w:tcMar/>
            <w:vAlign w:val="center"/>
          </w:tcPr>
          <w:p w:rsidR="5E462D29" w:rsidP="5E462D29" w:rsidRDefault="5E462D29" w14:paraId="37B5C08D" w14:textId="42E96202">
            <w:pPr>
              <w:spacing w:before="0" w:beforeAutospacing="off" w:after="0" w:afterAutospacing="off"/>
            </w:pPr>
            <w:r w:rsidR="5E462D29">
              <w:rPr/>
              <w:t xml:space="preserve">Maternal VE vs infant death </w:t>
            </w:r>
            <w:r w:rsidRPr="5E462D29" w:rsidR="5E462D29">
              <w:rPr>
                <w:b w:val="1"/>
                <w:bCs w:val="1"/>
              </w:rPr>
              <w:t>91 % (95 % CI 73‑98 %)</w:t>
            </w:r>
            <w:r w:rsidR="5E462D29">
              <w:rPr/>
              <w:t> . Large 2024 surge attributed to post‑COVID immunity gap .</w:t>
            </w:r>
          </w:p>
        </w:tc>
        <w:tc>
          <w:tcPr>
            <w:tcW w:w="2355" w:type="dxa"/>
            <w:tcMar/>
            <w:vAlign w:val="center"/>
          </w:tcPr>
          <w:p w:rsidR="5E462D29" w:rsidRDefault="5E462D29" w14:paraId="60D21DCA" w14:textId="54073130"/>
        </w:tc>
        <w:tc>
          <w:tcPr>
            <w:tcW w:w="2251" w:type="dxa"/>
            <w:tcMar/>
            <w:vAlign w:val="center"/>
          </w:tcPr>
          <w:p w:rsidR="5E462D29" w:rsidRDefault="5E462D29" w14:paraId="1A7B8B89" w14:textId="1BDC6818"/>
        </w:tc>
        <w:tc>
          <w:tcPr>
            <w:tcW w:w="3188" w:type="dxa"/>
            <w:tcMar/>
            <w:vAlign w:val="center"/>
          </w:tcPr>
          <w:p w:rsidR="5E462D29" w:rsidRDefault="5E462D29" w14:paraId="3F64D7B3" w14:textId="5EB7D93A"/>
        </w:tc>
      </w:tr>
    </w:tbl>
    <w:p xmlns:wp14="http://schemas.microsoft.com/office/word/2010/wordml" wp14:paraId="39111E35" wp14:textId="2AF1C1A2"/>
    <w:p xmlns:wp14="http://schemas.microsoft.com/office/word/2010/wordml" w:rsidP="5E462D29" wp14:paraId="25CA0387" wp14:textId="793CBE1C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 | Laboratory Diagnosis Timeline</w:t>
      </w:r>
    </w:p>
    <w:p xmlns:wp14="http://schemas.microsoft.com/office/word/2010/wordml" w:rsidP="5E462D29" wp14:paraId="3FCFA0FA" wp14:textId="65176C90">
      <w:pPr>
        <w:bidi w:val="0"/>
        <w:spacing w:before="240" w:beforeAutospacing="off" w:after="240" w:afterAutospacing="off"/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Culture → enhanced surveillance 1994 → serology 2001 → PCR 2002 → oral‑fluid IgG (2‑16 y) 2013 .</w:t>
      </w:r>
    </w:p>
    <w:p xmlns:wp14="http://schemas.microsoft.com/office/word/2010/wordml" wp14:paraId="359112BC" wp14:textId="17CC358F"/>
    <w:p xmlns:wp14="http://schemas.microsoft.com/office/word/2010/wordml" w:rsidP="5E462D29" wp14:paraId="028DDB8B" wp14:textId="6869EED4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 | Vaccine Science &amp; Products</w:t>
      </w:r>
    </w:p>
    <w:p xmlns:wp14="http://schemas.microsoft.com/office/word/2010/wordml" w:rsidP="5E462D29" wp14:paraId="1672EF66" wp14:textId="47D8F28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UK uses </w:t>
      </w: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acellular pertussis (aP)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only; 3‑ vs 5‑component aP give similar efficacy .</w:t>
      </w:r>
    </w:p>
    <w:p xmlns:wp14="http://schemas.microsoft.com/office/word/2010/wordml" w:rsidP="5E462D29" wp14:paraId="2FE9331F" wp14:textId="049AA86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Key combined products (0.5 ml IM):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68"/>
        <w:gridCol w:w="2458"/>
        <w:gridCol w:w="1445"/>
        <w:gridCol w:w="2445"/>
        <w:gridCol w:w="1599"/>
      </w:tblGrid>
      <w:tr w:rsidR="5E462D29" w:rsidTr="5E462D29" w14:paraId="3F59E542">
        <w:trPr>
          <w:trHeight w:val="300"/>
        </w:trPr>
        <w:tc>
          <w:tcPr>
            <w:tcW w:w="1068" w:type="dxa"/>
            <w:tcMar/>
            <w:vAlign w:val="center"/>
          </w:tcPr>
          <w:p w:rsidR="5E462D29" w:rsidP="5E462D29" w:rsidRDefault="5E462D29" w14:paraId="313D94EF" w14:textId="37463468">
            <w:pPr>
              <w:bidi w:val="0"/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Group</w:t>
            </w:r>
          </w:p>
        </w:tc>
        <w:tc>
          <w:tcPr>
            <w:tcW w:w="2458" w:type="dxa"/>
            <w:tcMar/>
            <w:vAlign w:val="center"/>
          </w:tcPr>
          <w:p w:rsidR="5E462D29" w:rsidP="5E462D29" w:rsidRDefault="5E462D29" w14:paraId="38222E60" w14:textId="6AA12E89">
            <w:pPr>
              <w:bidi w:val="0"/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Vaccine (manufacturer)</w:t>
            </w:r>
          </w:p>
        </w:tc>
        <w:tc>
          <w:tcPr>
            <w:tcW w:w="1445" w:type="dxa"/>
            <w:tcMar/>
            <w:vAlign w:val="center"/>
          </w:tcPr>
          <w:p w:rsidR="5E462D29" w:rsidP="5E462D29" w:rsidRDefault="5E462D29" w14:paraId="684FC2F2" w14:textId="584A6B6D">
            <w:pPr>
              <w:bidi w:val="0"/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aP comps</w:t>
            </w:r>
          </w:p>
        </w:tc>
        <w:tc>
          <w:tcPr>
            <w:tcW w:w="2445" w:type="dxa"/>
            <w:tcMar/>
            <w:vAlign w:val="center"/>
          </w:tcPr>
          <w:p w:rsidR="5E462D29" w:rsidP="5E462D29" w:rsidRDefault="5E462D29" w14:paraId="4E5B15D2" w14:textId="45343F4E">
            <w:pPr>
              <w:bidi w:val="0"/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Other antigens</w:t>
            </w:r>
          </w:p>
        </w:tc>
        <w:tc>
          <w:tcPr>
            <w:tcW w:w="1599" w:type="dxa"/>
            <w:tcMar/>
            <w:vAlign w:val="center"/>
          </w:tcPr>
          <w:p w:rsidR="5E462D29" w:rsidP="5E462D29" w:rsidRDefault="5E462D29" w14:paraId="421763C6" w14:textId="55E34EA2">
            <w:pPr>
              <w:bidi w:val="0"/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Licensing / programme role</w:t>
            </w:r>
          </w:p>
        </w:tc>
      </w:tr>
      <w:tr w:rsidR="5E462D29" w:rsidTr="5E462D29" w14:paraId="53BFFBD1">
        <w:trPr>
          <w:trHeight w:val="300"/>
        </w:trPr>
        <w:tc>
          <w:tcPr>
            <w:tcW w:w="1068" w:type="dxa"/>
            <w:tcMar/>
            <w:vAlign w:val="center"/>
          </w:tcPr>
          <w:p w:rsidR="5E462D29" w:rsidP="5E462D29" w:rsidRDefault="5E462D29" w14:paraId="5443B892" w14:textId="6C69D663">
            <w:pPr>
              <w:bidi w:val="0"/>
              <w:spacing w:before="0" w:beforeAutospacing="off" w:after="0" w:afterAutospacing="off"/>
            </w:pPr>
            <w:r w:rsidRPr="5E462D29" w:rsidR="5E462D29">
              <w:rPr>
                <w:b w:val="1"/>
                <w:bCs w:val="1"/>
              </w:rPr>
              <w:t>Primary &amp; 18 m</w:t>
            </w:r>
          </w:p>
        </w:tc>
        <w:tc>
          <w:tcPr>
            <w:tcW w:w="2458" w:type="dxa"/>
            <w:tcMar/>
            <w:vAlign w:val="center"/>
          </w:tcPr>
          <w:p w:rsidR="5E462D29" w:rsidP="5E462D29" w:rsidRDefault="5E462D29" w14:paraId="0B473544" w14:textId="5AE66985">
            <w:pPr>
              <w:bidi w:val="0"/>
              <w:spacing w:before="0" w:beforeAutospacing="off" w:after="0" w:afterAutospacing="off"/>
            </w:pPr>
            <w:r w:rsidR="5E462D29">
              <w:rPr/>
              <w:t>Infanrix Hexa (GSK) – 3; Vaxelis (Sanofi) – 5</w:t>
            </w:r>
          </w:p>
        </w:tc>
        <w:tc>
          <w:tcPr>
            <w:tcW w:w="1445" w:type="dxa"/>
            <w:tcMar/>
            <w:vAlign w:val="center"/>
          </w:tcPr>
          <w:p w:rsidR="5E462D29" w:rsidP="5E462D29" w:rsidRDefault="5E462D29" w14:paraId="5E5FD16F" w14:textId="03470711">
            <w:pPr>
              <w:bidi w:val="0"/>
              <w:spacing w:before="0" w:beforeAutospacing="off" w:after="0" w:afterAutospacing="off"/>
            </w:pPr>
            <w:r w:rsidR="5E462D29">
              <w:rPr/>
              <w:t>D,T (full), IPV, Hib, HepB</w:t>
            </w:r>
          </w:p>
        </w:tc>
        <w:tc>
          <w:tcPr>
            <w:tcW w:w="2445" w:type="dxa"/>
            <w:tcMar/>
            <w:vAlign w:val="center"/>
          </w:tcPr>
          <w:p w:rsidR="5E462D29" w:rsidP="5E462D29" w:rsidRDefault="5E462D29" w14:paraId="7A62DF02" w14:textId="1883BA37">
            <w:pPr>
              <w:bidi w:val="0"/>
              <w:spacing w:before="0" w:beforeAutospacing="off" w:after="0" w:afterAutospacing="off"/>
            </w:pPr>
            <w:r w:rsidR="5E462D29">
              <w:rPr/>
              <w:t>Inter‑changeable; prefer course continuity </w:t>
            </w:r>
          </w:p>
        </w:tc>
        <w:tc>
          <w:tcPr>
            <w:tcW w:w="1599" w:type="dxa"/>
            <w:tcMar/>
            <w:vAlign w:val="center"/>
          </w:tcPr>
          <w:p w:rsidR="5E462D29" w:rsidRDefault="5E462D29" w14:paraId="166C332B" w14:textId="34E869C3"/>
        </w:tc>
      </w:tr>
      <w:tr w:rsidR="5E462D29" w:rsidTr="5E462D29" w14:paraId="1D2E31E4">
        <w:trPr>
          <w:trHeight w:val="300"/>
        </w:trPr>
        <w:tc>
          <w:tcPr>
            <w:tcW w:w="1068" w:type="dxa"/>
            <w:tcMar/>
            <w:vAlign w:val="center"/>
          </w:tcPr>
          <w:p w:rsidR="5E462D29" w:rsidP="5E462D29" w:rsidRDefault="5E462D29" w14:paraId="7D52333A" w14:textId="4F5192EE">
            <w:pPr>
              <w:bidi w:val="0"/>
              <w:spacing w:before="0" w:beforeAutospacing="off" w:after="0" w:afterAutospacing="off"/>
            </w:pPr>
            <w:r w:rsidRPr="5E462D29" w:rsidR="5E462D29">
              <w:rPr>
                <w:b w:val="1"/>
                <w:bCs w:val="1"/>
              </w:rPr>
              <w:t>Pre‑school booster</w:t>
            </w:r>
          </w:p>
        </w:tc>
        <w:tc>
          <w:tcPr>
            <w:tcW w:w="2458" w:type="dxa"/>
            <w:tcMar/>
            <w:vAlign w:val="center"/>
          </w:tcPr>
          <w:p w:rsidR="5E462D29" w:rsidP="5E462D29" w:rsidRDefault="5E462D29" w14:paraId="5502DE40" w14:textId="2E89B044">
            <w:pPr>
              <w:bidi w:val="0"/>
              <w:spacing w:before="0" w:beforeAutospacing="off" w:after="0" w:afterAutospacing="off"/>
            </w:pPr>
            <w:r w:rsidR="5E462D29">
              <w:rPr/>
              <w:t>Repevax (5‑comp) / Boostrix‑IPV (3‑comp)</w:t>
            </w:r>
          </w:p>
        </w:tc>
        <w:tc>
          <w:tcPr>
            <w:tcW w:w="1445" w:type="dxa"/>
            <w:tcMar/>
            <w:vAlign w:val="center"/>
          </w:tcPr>
          <w:p w:rsidR="5E462D29" w:rsidP="5E462D29" w:rsidRDefault="5E462D29" w14:paraId="22DB8495" w14:textId="1B11C8D4">
            <w:pPr>
              <w:bidi w:val="0"/>
              <w:spacing w:before="0" w:beforeAutospacing="off" w:after="0" w:afterAutospacing="off"/>
            </w:pPr>
            <w:r w:rsidR="5E462D29">
              <w:rPr/>
              <w:t>d,T (low), IPV</w:t>
            </w:r>
          </w:p>
        </w:tc>
        <w:tc>
          <w:tcPr>
            <w:tcW w:w="2445" w:type="dxa"/>
            <w:tcMar/>
            <w:vAlign w:val="center"/>
          </w:tcPr>
          <w:p w:rsidR="5E462D29" w:rsidP="5E462D29" w:rsidRDefault="5E462D29" w14:paraId="4D43C460" w14:textId="098A942E">
            <w:pPr>
              <w:bidi w:val="0"/>
              <w:spacing w:before="0" w:beforeAutospacing="off" w:after="0" w:afterAutospacing="off"/>
            </w:pPr>
            <w:r w:rsidR="5E462D29">
              <w:rPr/>
              <w:t>Both latex‑free; also maternal alt</w:t>
            </w:r>
          </w:p>
        </w:tc>
        <w:tc>
          <w:tcPr>
            <w:tcW w:w="1599" w:type="dxa"/>
            <w:tcMar/>
            <w:vAlign w:val="center"/>
          </w:tcPr>
          <w:p w:rsidR="5E462D29" w:rsidRDefault="5E462D29" w14:paraId="76D4B5D9" w14:textId="5CFD8552"/>
        </w:tc>
      </w:tr>
      <w:tr w:rsidR="5E462D29" w:rsidTr="5E462D29" w14:paraId="7454C675">
        <w:trPr>
          <w:trHeight w:val="300"/>
        </w:trPr>
        <w:tc>
          <w:tcPr>
            <w:tcW w:w="1068" w:type="dxa"/>
            <w:tcMar/>
            <w:vAlign w:val="center"/>
          </w:tcPr>
          <w:p w:rsidR="5E462D29" w:rsidP="5E462D29" w:rsidRDefault="5E462D29" w14:paraId="1CDE0876" w14:textId="479F983A">
            <w:pPr>
              <w:bidi w:val="0"/>
              <w:spacing w:before="0" w:beforeAutospacing="off" w:after="0" w:afterAutospacing="off"/>
            </w:pPr>
            <w:r w:rsidRPr="5E462D29" w:rsidR="5E462D29">
              <w:rPr>
                <w:b w:val="1"/>
                <w:bCs w:val="1"/>
              </w:rPr>
              <w:t>Maternal &amp; HCW</w:t>
            </w:r>
          </w:p>
        </w:tc>
        <w:tc>
          <w:tcPr>
            <w:tcW w:w="2458" w:type="dxa"/>
            <w:tcMar/>
            <w:vAlign w:val="center"/>
          </w:tcPr>
          <w:p w:rsidR="5E462D29" w:rsidP="5E462D29" w:rsidRDefault="5E462D29" w14:paraId="2C29B4F4" w14:textId="5C2AD1B0">
            <w:pPr>
              <w:bidi w:val="0"/>
              <w:spacing w:before="0" w:beforeAutospacing="off" w:after="0" w:afterAutospacing="off"/>
            </w:pPr>
            <w:r w:rsidRPr="5E462D29" w:rsidR="5E462D29">
              <w:rPr>
                <w:b w:val="1"/>
                <w:bCs w:val="1"/>
              </w:rPr>
              <w:t>Adacel (Tdap, 5‑comp) – preferred</w:t>
            </w:r>
          </w:p>
        </w:tc>
        <w:tc>
          <w:tcPr>
            <w:tcW w:w="1445" w:type="dxa"/>
            <w:tcMar/>
            <w:vAlign w:val="center"/>
          </w:tcPr>
          <w:p w:rsidR="5E462D29" w:rsidP="5E462D29" w:rsidRDefault="5E462D29" w14:paraId="3A78E80B" w14:textId="339A99DE">
            <w:pPr>
              <w:bidi w:val="0"/>
              <w:spacing w:before="0" w:beforeAutospacing="off" w:after="0" w:afterAutospacing="off"/>
            </w:pPr>
            <w:r w:rsidR="5E462D29">
              <w:rPr/>
              <w:t>d,T (low)</w:t>
            </w:r>
          </w:p>
        </w:tc>
        <w:tc>
          <w:tcPr>
            <w:tcW w:w="2445" w:type="dxa"/>
            <w:tcMar/>
            <w:vAlign w:val="center"/>
          </w:tcPr>
          <w:p w:rsidR="5E462D29" w:rsidP="5E462D29" w:rsidRDefault="5E462D29" w14:paraId="36513C34" w14:textId="5684500D">
            <w:pPr>
              <w:bidi w:val="0"/>
              <w:spacing w:before="0" w:beforeAutospacing="off" w:after="0" w:afterAutospacing="off"/>
            </w:pPr>
            <w:r w:rsidR="5E462D29">
              <w:rPr/>
              <w:t>No IPV – avoids infant type‑2 polio blunting </w:t>
            </w:r>
          </w:p>
        </w:tc>
        <w:tc>
          <w:tcPr>
            <w:tcW w:w="1599" w:type="dxa"/>
            <w:tcMar/>
            <w:vAlign w:val="center"/>
          </w:tcPr>
          <w:p w:rsidR="5E462D29" w:rsidRDefault="5E462D29" w14:paraId="6F675FF6" w14:textId="459D950C"/>
        </w:tc>
      </w:tr>
    </w:tbl>
    <w:p xmlns:wp14="http://schemas.microsoft.com/office/word/2010/wordml" w:rsidP="5E462D29" wp14:paraId="6A8FE4D0" wp14:textId="4474C637">
      <w:pPr>
        <w:bidi w:val="0"/>
        <w:spacing w:before="240" w:beforeAutospacing="off" w:after="240" w:afterAutospacing="off"/>
      </w:pPr>
      <w:r w:rsidRPr="5E462D29" w:rsidR="27D8AD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Latex allergy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: Adacel tip‑cap contains latex – use Repevax/Boostrix‑IPV in pregnancy .</w:t>
      </w:r>
    </w:p>
    <w:p xmlns:wp14="http://schemas.microsoft.com/office/word/2010/wordml" w:rsidP="5E462D29" wp14:paraId="1A45C251" wp14:textId="4CC1E7D1">
      <w:pPr>
        <w:bidi w:val="0"/>
        <w:spacing w:before="240" w:beforeAutospacing="off" w:after="240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Composition tables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(toxoid &amp; antigen µg/DU) are on pp 6‑8 – skim for viva .</w:t>
      </w:r>
    </w:p>
    <w:p xmlns:wp14="http://schemas.microsoft.com/office/word/2010/wordml" wp14:paraId="492869CD" wp14:textId="02021210"/>
    <w:p xmlns:wp14="http://schemas.microsoft.com/office/word/2010/wordml" w:rsidP="5E462D29" wp14:paraId="73328A0D" wp14:textId="3F405718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 | UK Immunisation Schedule (from Jul 2025)</w:t>
      </w:r>
    </w:p>
    <w:p xmlns:wp14="http://schemas.microsoft.com/office/word/2010/wordml" w:rsidP="5E462D29" wp14:paraId="339CB397" wp14:textId="5511695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Primary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: 8‑, 12‑, 16‑wk DTaP/IPV/Hib/HepB ×3.</w:t>
      </w:r>
    </w:p>
    <w:p xmlns:wp14="http://schemas.microsoft.com/office/word/2010/wordml" w:rsidP="5E462D29" wp14:paraId="0C22DC49" wp14:textId="0813D2D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18 m hexavalent booster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(new) – maintains Hib; </w:t>
      </w: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does not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replace preschool booster .</w:t>
      </w:r>
    </w:p>
    <w:p xmlns:wp14="http://schemas.microsoft.com/office/word/2010/wordml" w:rsidP="5E462D29" wp14:paraId="05FD8902" wp14:textId="03CAD0A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Pre‑school booster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(3 y 4 m): dTaP/IPV .</w:t>
      </w:r>
    </w:p>
    <w:p xmlns:wp14="http://schemas.microsoft.com/office/word/2010/wordml" w:rsidP="5E462D29" wp14:paraId="75605A09" wp14:textId="23B12EA0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Maternal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: Tdap each pregnancy, 16‑32 wk (target ≈ 20 wk); can give until labour or ≤8 wk postpartum for maternal protection .</w:t>
      </w:r>
    </w:p>
    <w:p xmlns:wp14="http://schemas.microsoft.com/office/word/2010/wordml" w:rsidP="5E462D29" wp14:paraId="675806E8" wp14:textId="6E5E0D90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HCW booster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: if ≥5 y since last aP and regular contact with pregnant women / infants &lt;3 m .</w:t>
      </w:r>
    </w:p>
    <w:p xmlns:wp14="http://schemas.microsoft.com/office/word/2010/wordml" w:rsidP="5E462D29" wp14:paraId="0606B6BC" wp14:textId="708AC91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Outbreak control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: additional aP + macrolide PEP per UKHSA guidance .</w:t>
      </w:r>
    </w:p>
    <w:p xmlns:wp14="http://schemas.microsoft.com/office/word/2010/wordml" wp14:paraId="0C9E258E" wp14:textId="1D230CC3"/>
    <w:p xmlns:wp14="http://schemas.microsoft.com/office/word/2010/wordml" w:rsidP="5E462D29" wp14:paraId="3909D443" wp14:textId="4D3C8621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 | Special Groups &amp; Precautions</w:t>
      </w:r>
    </w:p>
    <w:tbl>
      <w:tblPr>
        <w:tblStyle w:val="TableNormal"/>
        <w:bidiVisual w:val="0"/>
        <w:tblW w:w="0" w:type="auto"/>
        <w:tblInd w:w="-135" w:type="dxa"/>
        <w:tblLayout w:type="fixed"/>
        <w:tblLook w:val="06A0" w:firstRow="1" w:lastRow="0" w:firstColumn="1" w:lastColumn="0" w:noHBand="1" w:noVBand="1"/>
      </w:tblPr>
      <w:tblGrid>
        <w:gridCol w:w="3291"/>
        <w:gridCol w:w="6132"/>
        <w:gridCol w:w="1165"/>
      </w:tblGrid>
      <w:tr w:rsidR="5E462D29" w:rsidTr="5E462D29" w14:paraId="3DD8CF4F">
        <w:trPr>
          <w:trHeight w:val="300"/>
        </w:trPr>
        <w:tc>
          <w:tcPr>
            <w:tcW w:w="3291" w:type="dxa"/>
            <w:tcMar/>
            <w:vAlign w:val="center"/>
          </w:tcPr>
          <w:p w:rsidR="5E462D29" w:rsidP="5E462D29" w:rsidRDefault="5E462D29" w14:paraId="021322EE" w14:textId="24C95667">
            <w:pPr>
              <w:bidi w:val="0"/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Situation</w:t>
            </w:r>
          </w:p>
        </w:tc>
        <w:tc>
          <w:tcPr>
            <w:tcW w:w="6132" w:type="dxa"/>
            <w:tcMar/>
            <w:vAlign w:val="center"/>
          </w:tcPr>
          <w:p w:rsidR="5E462D29" w:rsidP="5E462D29" w:rsidRDefault="5E462D29" w14:paraId="14FDA67C" w14:textId="4FD92D69">
            <w:pPr>
              <w:bidi w:val="0"/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Key advice</w:t>
            </w:r>
          </w:p>
        </w:tc>
        <w:tc>
          <w:tcPr>
            <w:tcW w:w="1165" w:type="dxa"/>
            <w:tcMar/>
            <w:vAlign w:val="center"/>
          </w:tcPr>
          <w:p w:rsidR="5E462D29" w:rsidP="5E462D29" w:rsidRDefault="5E462D29" w14:paraId="287EB705" w14:textId="0FDD4DA0">
            <w:pPr>
              <w:bidi w:val="0"/>
              <w:spacing w:before="0" w:beforeAutospacing="off" w:after="0" w:afterAutospacing="off"/>
              <w:jc w:val="center"/>
            </w:pPr>
            <w:r w:rsidRPr="5E462D29" w:rsidR="5E462D29">
              <w:rPr>
                <w:b w:val="1"/>
                <w:bCs w:val="1"/>
              </w:rPr>
              <w:t>Source</w:t>
            </w:r>
          </w:p>
        </w:tc>
      </w:tr>
      <w:tr w:rsidR="5E462D29" w:rsidTr="5E462D29" w14:paraId="0F156B00">
        <w:trPr>
          <w:trHeight w:val="300"/>
        </w:trPr>
        <w:tc>
          <w:tcPr>
            <w:tcW w:w="3291" w:type="dxa"/>
            <w:tcMar/>
            <w:vAlign w:val="center"/>
          </w:tcPr>
          <w:p w:rsidR="5E462D29" w:rsidP="5E462D29" w:rsidRDefault="5E462D29" w14:paraId="5E97304B" w14:textId="311FF007">
            <w:pPr>
              <w:bidi w:val="0"/>
              <w:spacing w:before="0" w:beforeAutospacing="off" w:after="0" w:afterAutospacing="off"/>
            </w:pPr>
            <w:r w:rsidRPr="5E462D29" w:rsidR="5E462D29">
              <w:rPr>
                <w:b w:val="1"/>
                <w:bCs w:val="1"/>
              </w:rPr>
              <w:t>Premature ≤28 wk</w:t>
            </w:r>
          </w:p>
        </w:tc>
        <w:tc>
          <w:tcPr>
            <w:tcW w:w="6132" w:type="dxa"/>
            <w:tcMar/>
            <w:vAlign w:val="center"/>
          </w:tcPr>
          <w:p w:rsidR="5E462D29" w:rsidP="5E462D29" w:rsidRDefault="5E462D29" w14:paraId="35981F55" w14:textId="18CC49A4">
            <w:pPr>
              <w:bidi w:val="0"/>
              <w:spacing w:before="0" w:beforeAutospacing="off" w:after="0" w:afterAutospacing="off"/>
            </w:pPr>
            <w:r w:rsidR="5E462D29">
              <w:rPr/>
              <w:t>Vaccinate on time; observe 48‑72 h for apnoea </w:t>
            </w:r>
          </w:p>
        </w:tc>
        <w:tc>
          <w:tcPr>
            <w:tcW w:w="1165" w:type="dxa"/>
            <w:tcMar/>
            <w:vAlign w:val="center"/>
          </w:tcPr>
          <w:p w:rsidR="5E462D29" w:rsidP="5E462D29" w:rsidRDefault="5E462D29" w14:paraId="0F40A06B" w14:textId="67F30643">
            <w:pPr>
              <w:bidi w:val="0"/>
              <w:spacing w:before="0" w:beforeAutospacing="off" w:after="0" w:afterAutospacing="off"/>
            </w:pPr>
            <w:r w:rsidR="5E462D29">
              <w:rPr/>
              <w:t>turn11file4</w:t>
            </w:r>
          </w:p>
        </w:tc>
      </w:tr>
      <w:tr w:rsidR="5E462D29" w:rsidTr="5E462D29" w14:paraId="72948580">
        <w:trPr>
          <w:trHeight w:val="300"/>
        </w:trPr>
        <w:tc>
          <w:tcPr>
            <w:tcW w:w="3291" w:type="dxa"/>
            <w:tcMar/>
            <w:vAlign w:val="center"/>
          </w:tcPr>
          <w:p w:rsidR="5E462D29" w:rsidP="5E462D29" w:rsidRDefault="5E462D29" w14:paraId="5D6BA3C3" w14:textId="5569E572">
            <w:pPr>
              <w:bidi w:val="0"/>
              <w:spacing w:before="0" w:beforeAutospacing="off" w:after="0" w:afterAutospacing="off"/>
            </w:pPr>
            <w:r w:rsidRPr="5E462D29" w:rsidR="5E462D29">
              <w:rPr>
                <w:b w:val="1"/>
                <w:bCs w:val="1"/>
              </w:rPr>
              <w:t>Severe latex allergy (pregnancy)</w:t>
            </w:r>
          </w:p>
        </w:tc>
        <w:tc>
          <w:tcPr>
            <w:tcW w:w="6132" w:type="dxa"/>
            <w:tcMar/>
            <w:vAlign w:val="center"/>
          </w:tcPr>
          <w:p w:rsidR="5E462D29" w:rsidP="5E462D29" w:rsidRDefault="5E462D29" w14:paraId="1E5B9ECD" w14:textId="6C534766">
            <w:pPr>
              <w:bidi w:val="0"/>
              <w:spacing w:before="0" w:beforeAutospacing="off" w:after="0" w:afterAutospacing="off"/>
            </w:pPr>
            <w:r w:rsidR="5E462D29">
              <w:rPr/>
              <w:t>Offer dTaP/IPV, arrange referral if maternity stock absent </w:t>
            </w:r>
          </w:p>
        </w:tc>
        <w:tc>
          <w:tcPr>
            <w:tcW w:w="1165" w:type="dxa"/>
            <w:tcMar/>
            <w:vAlign w:val="center"/>
          </w:tcPr>
          <w:p w:rsidR="5E462D29" w:rsidP="5E462D29" w:rsidRDefault="5E462D29" w14:paraId="05271312" w14:textId="021A5E54">
            <w:pPr>
              <w:bidi w:val="0"/>
              <w:spacing w:before="0" w:beforeAutospacing="off" w:after="0" w:afterAutospacing="off"/>
            </w:pPr>
            <w:r w:rsidR="5E462D29">
              <w:rPr/>
              <w:t>turn11file4</w:t>
            </w:r>
          </w:p>
        </w:tc>
      </w:tr>
      <w:tr w:rsidR="5E462D29" w:rsidTr="5E462D29" w14:paraId="4B9B0B6C">
        <w:trPr>
          <w:trHeight w:val="300"/>
        </w:trPr>
        <w:tc>
          <w:tcPr>
            <w:tcW w:w="3291" w:type="dxa"/>
            <w:tcMar/>
            <w:vAlign w:val="center"/>
          </w:tcPr>
          <w:p w:rsidR="5E462D29" w:rsidP="5E462D29" w:rsidRDefault="5E462D29" w14:paraId="7E848A10" w14:textId="093F0E4D">
            <w:pPr>
              <w:bidi w:val="0"/>
              <w:spacing w:before="0" w:beforeAutospacing="off" w:after="0" w:afterAutospacing="off"/>
            </w:pPr>
            <w:r w:rsidRPr="5E462D29" w:rsidR="5E462D29">
              <w:rPr>
                <w:b w:val="1"/>
                <w:bCs w:val="1"/>
              </w:rPr>
              <w:t>Bleeding disorder</w:t>
            </w:r>
          </w:p>
        </w:tc>
        <w:tc>
          <w:tcPr>
            <w:tcW w:w="6132" w:type="dxa"/>
            <w:tcMar/>
            <w:vAlign w:val="center"/>
          </w:tcPr>
          <w:p w:rsidR="5E462D29" w:rsidP="5E462D29" w:rsidRDefault="5E462D29" w14:paraId="7C30DD52" w14:textId="54D31695">
            <w:pPr>
              <w:bidi w:val="0"/>
              <w:spacing w:before="0" w:beforeAutospacing="off" w:after="0" w:afterAutospacing="off"/>
            </w:pPr>
            <w:r w:rsidR="5E462D29">
              <w:rPr/>
              <w:t>Follow Ch 4 IM guidance; stable vs unstable distinction </w:t>
            </w:r>
          </w:p>
        </w:tc>
        <w:tc>
          <w:tcPr>
            <w:tcW w:w="1165" w:type="dxa"/>
            <w:tcMar/>
            <w:vAlign w:val="center"/>
          </w:tcPr>
          <w:p w:rsidR="5E462D29" w:rsidP="5E462D29" w:rsidRDefault="5E462D29" w14:paraId="3D9A2AC9" w14:textId="71C9B084">
            <w:pPr>
              <w:bidi w:val="0"/>
              <w:spacing w:before="0" w:beforeAutospacing="off" w:after="0" w:afterAutospacing="off"/>
            </w:pPr>
            <w:r w:rsidR="5E462D29">
              <w:rPr/>
              <w:t>turn11file15</w:t>
            </w:r>
          </w:p>
        </w:tc>
      </w:tr>
      <w:tr w:rsidR="5E462D29" w:rsidTr="5E462D29" w14:paraId="4BF82EE6">
        <w:trPr>
          <w:trHeight w:val="300"/>
        </w:trPr>
        <w:tc>
          <w:tcPr>
            <w:tcW w:w="3291" w:type="dxa"/>
            <w:tcMar/>
            <w:vAlign w:val="center"/>
          </w:tcPr>
          <w:p w:rsidR="5E462D29" w:rsidP="5E462D29" w:rsidRDefault="5E462D29" w14:paraId="1A6DA483" w14:textId="6E1FA583">
            <w:pPr>
              <w:bidi w:val="0"/>
              <w:spacing w:before="0" w:beforeAutospacing="off" w:after="0" w:afterAutospacing="off"/>
            </w:pPr>
            <w:r w:rsidRPr="5E462D29" w:rsidR="5E462D29">
              <w:rPr>
                <w:b w:val="1"/>
                <w:bCs w:val="1"/>
              </w:rPr>
              <w:t>Immunosuppressed / HIV</w:t>
            </w:r>
          </w:p>
        </w:tc>
        <w:tc>
          <w:tcPr>
            <w:tcW w:w="6132" w:type="dxa"/>
            <w:tcMar/>
            <w:vAlign w:val="center"/>
          </w:tcPr>
          <w:p w:rsidR="5E462D29" w:rsidP="5E462D29" w:rsidRDefault="5E462D29" w14:paraId="3B4807E6" w14:textId="740905A1">
            <w:pPr>
              <w:bidi w:val="0"/>
              <w:spacing w:before="0" w:beforeAutospacing="off" w:after="0" w:afterAutospacing="off"/>
            </w:pPr>
            <w:r w:rsidR="5E462D29">
              <w:rPr/>
              <w:t>Give inactivated aP as scheduled; may revaccinate post‑therapy </w:t>
            </w:r>
          </w:p>
        </w:tc>
        <w:tc>
          <w:tcPr>
            <w:tcW w:w="1165" w:type="dxa"/>
            <w:tcMar/>
            <w:vAlign w:val="center"/>
          </w:tcPr>
          <w:p w:rsidR="5E462D29" w:rsidP="5E462D29" w:rsidRDefault="5E462D29" w14:paraId="608C2A2A" w14:textId="3AA02A5E">
            <w:pPr>
              <w:bidi w:val="0"/>
              <w:spacing w:before="0" w:beforeAutospacing="off" w:after="0" w:afterAutospacing="off"/>
            </w:pPr>
            <w:r w:rsidR="5E462D29">
              <w:rPr/>
              <w:t>turn11file3</w:t>
            </w:r>
          </w:p>
        </w:tc>
      </w:tr>
    </w:tbl>
    <w:p xmlns:wp14="http://schemas.microsoft.com/office/word/2010/wordml" w:rsidP="5E462D29" wp14:paraId="3E9D44A5" wp14:textId="5914D65F">
      <w:pPr>
        <w:bidi w:val="0"/>
        <w:spacing w:before="240" w:beforeAutospacing="off" w:after="240" w:afterAutospacing="off"/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Minor illness, previous HHE, febrile convulsion = </w:t>
      </w:r>
      <w:r w:rsidRPr="5E462D29" w:rsidR="27D8AD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not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contra‑indications .</w:t>
      </w:r>
    </w:p>
    <w:p xmlns:wp14="http://schemas.microsoft.com/office/word/2010/wordml" wp14:paraId="4F21F7B6" wp14:textId="653EB0E6"/>
    <w:p xmlns:wp14="http://schemas.microsoft.com/office/word/2010/wordml" w:rsidP="5E462D29" wp14:paraId="5E3C2485" wp14:textId="5FE89486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7 | Co‑administration &amp; Blunting Issues</w:t>
      </w:r>
    </w:p>
    <w:p xmlns:wp14="http://schemas.microsoft.com/office/word/2010/wordml" w:rsidP="5E462D29" wp14:paraId="25B6BD47" wp14:textId="04D0429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Safe with influenza, COVID‑19 vaccines; do </w:t>
      </w: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give &lt;16 wk gestation .</w:t>
      </w:r>
    </w:p>
    <w:p xmlns:wp14="http://schemas.microsoft.com/office/word/2010/wordml" w:rsidP="5E462D29" wp14:paraId="6854333A" wp14:textId="26988D0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RSV vaccine: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slight reduction in some pertussis antibody titres; preferable to separate (pertussis ~20 wk, RSV ≥28 wk) but may co‑administer if late .</w:t>
      </w:r>
    </w:p>
    <w:p xmlns:wp14="http://schemas.microsoft.com/office/word/2010/wordml" w:rsidP="5E462D29" wp14:paraId="286847ED" wp14:textId="2ADA72D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IPV blunting: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infants of mothers vaccinated with IPV‑containing Tdap show reduced type 2 polio response; hence Adacel (no IPV) is preferred since Oct 2022 .</w:t>
      </w:r>
    </w:p>
    <w:p xmlns:wp14="http://schemas.microsoft.com/office/word/2010/wordml" w:rsidP="5E462D29" wp14:paraId="7F1007A5" wp14:textId="11D97C9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Hexavalent + PCV/MMR increases febrile convulsions – counsel parents .</w:t>
      </w:r>
    </w:p>
    <w:p xmlns:wp14="http://schemas.microsoft.com/office/word/2010/wordml" wp14:paraId="1E55E2DD" wp14:textId="317DA17E"/>
    <w:p xmlns:wp14="http://schemas.microsoft.com/office/word/2010/wordml" w:rsidP="5E462D29" wp14:paraId="5306EF37" wp14:textId="04081D93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8 | Occupational Vaccination (HCWs)</w:t>
      </w:r>
    </w:p>
    <w:p xmlns:wp14="http://schemas.microsoft.com/office/word/2010/wordml" w:rsidP="5E462D29" wp14:paraId="77138429" wp14:textId="5B9AEEB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Offer pertussis to HCWs without aP in last 5 y </w:t>
      </w: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and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regular contact with pregnant women or infants &lt;3 m.</w:t>
      </w:r>
    </w:p>
    <w:p xmlns:wp14="http://schemas.microsoft.com/office/word/2010/wordml" w:rsidP="5E462D29" wp14:paraId="6D25707B" wp14:textId="591CB964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Priority 1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: maternity, neonatal &amp; paediatric ICUs .</w:t>
      </w:r>
    </w:p>
    <w:p xmlns:wp14="http://schemas.microsoft.com/office/word/2010/wordml" w:rsidP="5E462D29" wp14:paraId="3F2333AD" wp14:textId="46B4D40F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Priority 2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: general paediatrics, specialised paediatric units, health visitors .</w:t>
      </w:r>
    </w:p>
    <w:p xmlns:wp14="http://schemas.microsoft.com/office/word/2010/wordml" w:rsidP="5E462D29" wp14:paraId="0AE79296" wp14:textId="1CEAB97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Order vaccines direct from manufacturers / ImmForm; telephone &amp; web ordering details given .</w:t>
      </w:r>
    </w:p>
    <w:p xmlns:wp14="http://schemas.microsoft.com/office/word/2010/wordml" wp14:paraId="12840F3C" wp14:textId="422BEC99"/>
    <w:p xmlns:wp14="http://schemas.microsoft.com/office/word/2010/wordml" w:rsidP="5E462D29" wp14:paraId="0DAE6C09" wp14:textId="34FF0BBE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9 | Supply, Storage &amp; Disposal</w:t>
      </w:r>
    </w:p>
    <w:p xmlns:wp14="http://schemas.microsoft.com/office/word/2010/wordml" w:rsidP="5E462D29" wp14:paraId="61936AC1" wp14:textId="5C75357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National stock list includes Repevax, Boostrix‑IPV, Infanrix IPV+Hib, Infanrix Hexa, Vaxelis, Adacel .</w:t>
      </w:r>
    </w:p>
    <w:p xmlns:wp14="http://schemas.microsoft.com/office/word/2010/wordml" w:rsidP="5E462D29" wp14:paraId="3CE11FC9" wp14:textId="0A09696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Order via ImmForm (E, W, S) or NI holding centres .</w:t>
      </w:r>
    </w:p>
    <w:p xmlns:wp14="http://schemas.microsoft.com/office/word/2010/wordml" w:rsidP="5E462D29" wp14:paraId="0708988D" wp14:textId="44EE5F7D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Store 2–8 °C; dispose sharps per HTM 07‑01 .</w:t>
      </w:r>
    </w:p>
    <w:p xmlns:wp14="http://schemas.microsoft.com/office/word/2010/wordml" wp14:paraId="26F9BE27" wp14:textId="7055DE24"/>
    <w:p xmlns:wp14="http://schemas.microsoft.com/office/word/2010/wordml" w:rsidP="5E462D29" wp14:paraId="381ECEAC" wp14:textId="3C3391C6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 | Adverse Events &amp; Reporting</w:t>
      </w:r>
    </w:p>
    <w:p xmlns:wp14="http://schemas.microsoft.com/office/word/2010/wordml" w:rsidP="5E462D29" wp14:paraId="416AB149" wp14:textId="1C566A5C">
      <w:pPr>
        <w:bidi w:val="0"/>
        <w:spacing w:before="240" w:beforeAutospacing="off" w:after="240" w:afterAutospacing="off"/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Local pain/erythema common; systemic fever/irritability rare; aP safer than wP .</w:t>
      </w:r>
    </w:p>
    <w:p xmlns:wp14="http://schemas.microsoft.com/office/word/2010/wordml" w:rsidP="5E462D29" wp14:paraId="58936B84" wp14:textId="77E0B87B">
      <w:pPr>
        <w:bidi w:val="0"/>
        <w:spacing w:before="240" w:beforeAutospacing="off" w:after="240" w:afterAutospacing="off"/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Report to MHRA Yellow Card (black‑triangle products or serious AE) .</w:t>
      </w:r>
    </w:p>
    <w:p xmlns:wp14="http://schemas.microsoft.com/office/word/2010/wordml" wp14:paraId="59BDA2C5" wp14:textId="6C785084"/>
    <w:p xmlns:wp14="http://schemas.microsoft.com/office/word/2010/wordml" w:rsidP="5E462D29" wp14:paraId="3B9A8860" wp14:textId="3083876D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11 | Management of Contacts &amp; Outbreaks</w:t>
      </w:r>
    </w:p>
    <w:p xmlns:wp14="http://schemas.microsoft.com/office/word/2010/wordml" w:rsidP="5E462D29" wp14:paraId="5AE1AC5C" wp14:textId="1168C46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Notifiable disease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E462D29" wp14:paraId="090A0534" wp14:textId="385A0F6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Macrolide PEP (clarithro/azithro) + selective vaccination per UKHSA guidelines .</w:t>
      </w:r>
    </w:p>
    <w:p xmlns:wp14="http://schemas.microsoft.com/office/word/2010/wordml" wp14:paraId="03FF48B4" wp14:textId="33959110"/>
    <w:p xmlns:wp14="http://schemas.microsoft.com/office/word/2010/wordml" w:rsidP="5E462D29" wp14:paraId="4E643869" wp14:textId="45803459">
      <w:pPr>
        <w:pStyle w:val="Heading4"/>
        <w:bidi w:val="0"/>
        <w:spacing w:before="319" w:beforeAutospacing="off" w:after="319" w:afterAutospacing="off"/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12 | Exam‑Focused Mnemonics</w:t>
      </w:r>
    </w:p>
    <w:p xmlns:wp14="http://schemas.microsoft.com/office/word/2010/wordml" w:rsidP="5E462D29" wp14:paraId="30B1DF6E" wp14:textId="47B8DD5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WHOOP 91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Waning immunity, HCW boosters, Outbreak cycles, Occupational vaccine, Polio blunting (Adacel), </w:t>
      </w: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91 %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maternal VE vs infant death.</w:t>
      </w:r>
    </w:p>
    <w:p xmlns:wp14="http://schemas.microsoft.com/office/word/2010/wordml" w:rsidP="5E462D29" wp14:paraId="735D97C8" wp14:textId="450A4AA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“8‑12‑16 / 18 / 3 + 4 / MAT‑20”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schedule line.</w:t>
      </w:r>
    </w:p>
    <w:p xmlns:wp14="http://schemas.microsoft.com/office/word/2010/wordml" w:rsidP="5E462D29" wp14:paraId="6A1A73D5" wp14:textId="6CA171B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“RSV after aP”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separate to avoid antibody attenuation.</w:t>
      </w:r>
    </w:p>
    <w:p xmlns:wp14="http://schemas.microsoft.com/office/word/2010/wordml" w:rsidP="5E462D29" wp14:paraId="6464A9E7" wp14:textId="48B07F5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“5 years &amp; &lt;3 m”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HCW booster interval / infant age risk.</w:t>
      </w:r>
    </w:p>
    <w:p xmlns:wp14="http://schemas.microsoft.com/office/word/2010/wordml" wp14:paraId="1305D466" wp14:textId="63E7E270"/>
    <w:p xmlns:wp14="http://schemas.microsoft.com/office/word/2010/wordml" w:rsidP="5E462D29" wp14:paraId="354A8629" wp14:textId="3A19DDA0">
      <w:pPr>
        <w:bidi w:val="0"/>
        <w:spacing w:before="240" w:beforeAutospacing="off" w:after="240" w:afterAutospacing="off"/>
      </w:pP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These updated notes now incorporate:</w:t>
      </w:r>
    </w:p>
    <w:p xmlns:wp14="http://schemas.microsoft.com/office/word/2010/wordml" w:rsidP="5E462D29" wp14:paraId="1849A741" wp14:textId="17104B78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Polio‑blunting rationale &amp; Adacel preference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</w:t>
      </w:r>
    </w:p>
    <w:p xmlns:wp14="http://schemas.microsoft.com/office/word/2010/wordml" w:rsidP="5E462D29" wp14:paraId="2FA564F7" wp14:textId="4966E84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18‑month hexavalent booster &amp; five‑dose lifetime schedule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</w:t>
      </w:r>
    </w:p>
    <w:p xmlns:wp14="http://schemas.microsoft.com/office/word/2010/wordml" w:rsidP="5E462D29" wp14:paraId="49BB0639" wp14:textId="245D716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Detailed HCW occupational offer &amp; priority groups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</w:t>
      </w:r>
    </w:p>
    <w:p xmlns:wp14="http://schemas.microsoft.com/office/word/2010/wordml" w:rsidP="5E462D29" wp14:paraId="1BF775C2" wp14:textId="2D47D59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Vaccine ordering, supply lists, disposal rules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</w:t>
      </w:r>
    </w:p>
    <w:p xmlns:wp14="http://schemas.microsoft.com/office/word/2010/wordml" w:rsidP="5E462D29" wp14:paraId="07EB3632" wp14:textId="4A16042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Co‑administration with RSV, flu, COVID‑19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</w:t>
      </w:r>
    </w:p>
    <w:p xmlns:wp14="http://schemas.microsoft.com/office/word/2010/wordml" w:rsidP="5E462D29" wp14:paraId="74F352A7" wp14:textId="3B29E80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Prematurity, latex allergy, bleeding disorders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</w:t>
      </w:r>
    </w:p>
    <w:p xmlns:wp14="http://schemas.microsoft.com/office/word/2010/wordml" w:rsidP="5E462D29" wp14:paraId="31AA120B" wp14:textId="708017A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E462D29" w:rsidR="27D8AD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All current product compositions &amp; interchangeability guidance</w:t>
      </w:r>
      <w:r w:rsidRPr="5E462D29" w:rsidR="27D8ADF6">
        <w:rPr>
          <w:rFonts w:ascii="Aptos" w:hAnsi="Aptos" w:eastAsia="Aptos" w:cs="Aptos"/>
          <w:noProof w:val="0"/>
          <w:sz w:val="24"/>
          <w:szCs w:val="24"/>
          <w:lang w:val="en-GB"/>
        </w:rPr>
        <w:t> </w:t>
      </w:r>
    </w:p>
    <w:p xmlns:wp14="http://schemas.microsoft.com/office/word/2010/wordml" w:rsidP="4524F8C3" wp14:paraId="419EDD82" wp14:textId="162E8807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p14:paraId="5E5787A5" wp14:textId="30DB47D4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f386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5aa2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c4e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b3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9bb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e9d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1c8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e99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43d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927F0"/>
    <w:rsid w:val="1D982C5A"/>
    <w:rsid w:val="27D8ADF6"/>
    <w:rsid w:val="2E0927F0"/>
    <w:rsid w:val="4524F8C3"/>
    <w:rsid w:val="5E46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7F0"/>
  <w15:chartTrackingRefBased/>
  <w15:docId w15:val="{FCA4AF4B-2F3C-4226-8051-1CDF8F899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E462D2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E462D2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E462D2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4524F8C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6c1aa324774e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2025-07-22T19:20:53.8681277Z</dcterms:created>
  <dcterms:modified xsi:type="dcterms:W3CDTF">2025-10-07T12:41:32.1588611Z</dcterms:modified>
</coreProperties>
</file>