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E53CCE" wp14:paraId="270CD6F3" wp14:textId="7670B364">
      <w:pPr>
        <w:pStyle w:val="Heading1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52E53CCE" w:rsidR="10864E1C">
        <w:rPr>
          <w:noProof w:val="0"/>
          <w:lang w:val="en-GB"/>
        </w:rPr>
        <w:t>Whipple’s Disease</w:t>
      </w:r>
    </w:p>
    <w:p xmlns:wp14="http://schemas.microsoft.com/office/word/2010/wordml" w:rsidP="65F683DE" wp14:paraId="585254BB" wp14:textId="7D43A0A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1. Overview &amp; Taxonomy</w:t>
      </w:r>
    </w:p>
    <w:p xmlns:wp14="http://schemas.microsoft.com/office/word/2010/wordml" w:rsidP="65F683DE" wp14:paraId="25923D94" wp14:textId="3D6274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Agent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Tropheryma whipplei</w:t>
      </w:r>
    </w:p>
    <w:p xmlns:wp14="http://schemas.microsoft.com/office/word/2010/wordml" w:rsidP="65F683DE" wp14:paraId="5EA6A855" wp14:textId="2D27BE3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Gram-positive actinomycete (order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Actinomycetales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), related to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Actinomyces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.</w:t>
      </w:r>
    </w:p>
    <w:p xmlns:wp14="http://schemas.microsoft.com/office/word/2010/wordml" w:rsidP="65F683DE" wp14:paraId="6DDB3221" wp14:textId="729EE20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PAS-positive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foamy macrophages in tissues.</w:t>
      </w:r>
    </w:p>
    <w:p xmlns:wp14="http://schemas.microsoft.com/office/word/2010/wordml" w:rsidP="65F683DE" wp14:paraId="08C105E7" wp14:textId="7A9225C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Non-motile, non–acid-fast, slow-growing, fastidious.</w:t>
      </w:r>
    </w:p>
    <w:p xmlns:wp14="http://schemas.microsoft.com/office/word/2010/wordml" w:rsidP="65F683DE" wp14:paraId="18D123E0" wp14:textId="32EDBB3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33238031">
        <w:rPr>
          <w:rFonts w:ascii="Aptos" w:hAnsi="Aptos" w:eastAsia="Aptos" w:cs="Aptos"/>
          <w:noProof w:val="0"/>
          <w:sz w:val="20"/>
          <w:szCs w:val="20"/>
          <w:lang w:val="en-GB"/>
        </w:rPr>
        <w:t>Intracellular</w:t>
      </w:r>
    </w:p>
    <w:p xmlns:wp14="http://schemas.microsoft.com/office/word/2010/wordml" w:rsidP="65F683DE" wp14:paraId="1AC1B714" wp14:textId="14D47A2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33238031">
        <w:rPr>
          <w:rFonts w:ascii="Aptos" w:hAnsi="Aptos" w:eastAsia="Aptos" w:cs="Aptos"/>
          <w:noProof w:val="0"/>
          <w:sz w:val="20"/>
          <w:szCs w:val="20"/>
          <w:lang w:val="en-GB"/>
        </w:rPr>
        <w:t>aerobic</w:t>
      </w:r>
    </w:p>
    <w:p xmlns:wp14="http://schemas.microsoft.com/office/word/2010/wordml" w:rsidP="65F683DE" wp14:paraId="73677802" wp14:textId="3ABDC0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Named after George Hoyt Whipple (1907).</w:t>
      </w:r>
    </w:p>
    <w:p xmlns:wp14="http://schemas.microsoft.com/office/word/2010/wordml" w:rsidP="65F683DE" wp14:paraId="3CC6C9D8" wp14:textId="50F515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Epidemiology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5ECED97F" wp14:textId="3FCE873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Rare (~1/million/year).</w:t>
      </w:r>
    </w:p>
    <w:p xmlns:wp14="http://schemas.microsoft.com/office/word/2010/wordml" w:rsidP="65F683DE" wp14:paraId="651EBBF9" wp14:textId="64EE61C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Middle-aged Caucasian men (M:F ≈ 8–10:1).</w:t>
      </w:r>
    </w:p>
    <w:p xmlns:wp14="http://schemas.microsoft.com/office/word/2010/wordml" w:rsidP="65F683DE" wp14:paraId="3E535BD7" wp14:textId="3B3E958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Found in environment (sewage, soil); asymptomatic carriage possible, especially in endemic settings.</w:t>
      </w:r>
    </w:p>
    <w:p xmlns:wp14="http://schemas.microsoft.com/office/word/2010/wordml" w:rsidP="65F683DE" wp14:paraId="67455D25" wp14:textId="54E5713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Possible occupational link: farmers, sewage workers.</w:t>
      </w:r>
    </w:p>
    <w:p xmlns:wp14="http://schemas.microsoft.com/office/word/2010/wordml" w:rsidP="65F683DE" wp14:paraId="13E1438E" wp14:textId="1742117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2. Laboratory Microbiology</w:t>
      </w:r>
    </w:p>
    <w:p xmlns:wp14="http://schemas.microsoft.com/office/word/2010/wordml" w:rsidP="65F683DE" wp14:paraId="313C3F07" wp14:textId="3D5DA26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A) Morphology</w:t>
      </w:r>
    </w:p>
    <w:p xmlns:wp14="http://schemas.microsoft.com/office/word/2010/wordml" w:rsidP="65F683DE" wp14:paraId="1E93E9F2" wp14:textId="31733C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Small, rod-shaped Gram-positive bacilli (weakly Gram-staining).</w:t>
      </w:r>
    </w:p>
    <w:p xmlns:wp14="http://schemas.microsoft.com/office/word/2010/wordml" w:rsidP="65F683DE" wp14:paraId="6D0647D5" wp14:textId="687C01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PAS-positive, diastase-resistant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material in lamina propria macrophages.</w:t>
      </w:r>
    </w:p>
    <w:p xmlns:wp14="http://schemas.microsoft.com/office/word/2010/wordml" w:rsidP="65F683DE" wp14:paraId="5C7DEDA4" wp14:textId="42E353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Non–acid-fast on Ziehl–Neelsen (differentiates from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Mycobacterium avium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complex and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Nocardia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).</w:t>
      </w:r>
    </w:p>
    <w:p xmlns:wp14="http://schemas.microsoft.com/office/word/2010/wordml" w:rsidP="65F683DE" wp14:paraId="597A0ECA" wp14:textId="34B7258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B) Culture</w:t>
      </w:r>
    </w:p>
    <w:p xmlns:wp14="http://schemas.microsoft.com/office/word/2010/wordml" w:rsidP="65F683DE" wp14:paraId="3AFEB82C" wp14:textId="34853FA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Fastidious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requires </w:t>
      </w: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human fibroblast cell lines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(e.g., HEL cells) or other eukaryotic systems.</w:t>
      </w:r>
    </w:p>
    <w:p xmlns:wp14="http://schemas.microsoft.com/office/word/2010/wordml" w:rsidP="65F683DE" wp14:paraId="578F6C15" wp14:textId="30C1C6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No growth on standard bacteriological agar.</w:t>
      </w:r>
    </w:p>
    <w:p xmlns:wp14="http://schemas.microsoft.com/office/word/2010/wordml" w:rsidP="65F683DE" wp14:paraId="51B3B9C1" wp14:textId="77B854A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C) Histology</w:t>
      </w:r>
    </w:p>
    <w:p xmlns:wp14="http://schemas.microsoft.com/office/word/2010/wordml" w:rsidP="65F683DE" wp14:paraId="41AA7098" wp14:textId="7B034DE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Small bowel biopsy (duodenum/jejunum)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14234D76" wp14:textId="67DA41D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Villous blunting, lamina propria expanded by foamy macrophages packed with PAS-positive, diastase-resistant granules (glycoprotein-rich bacterial cell wall remnants).</w:t>
      </w:r>
    </w:p>
    <w:p xmlns:wp14="http://schemas.microsoft.com/office/word/2010/wordml" w:rsidP="65F683DE" wp14:paraId="049C5ACE" wp14:textId="2701FE9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Lymphatic dilation may be present.</w:t>
      </w:r>
    </w:p>
    <w:p xmlns:wp14="http://schemas.microsoft.com/office/word/2010/wordml" w:rsidP="65F683DE" wp14:paraId="335A33E4" wp14:textId="3B8B795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Special stains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 PAS key;</w:t>
      </w:r>
    </w:p>
    <w:p xmlns:wp14="http://schemas.microsoft.com/office/word/2010/wordml" w:rsidP="65F683DE" wp14:paraId="4940A092" wp14:textId="2A6B82D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Immunohistochemistry with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T. whipplei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-specific antibodies improves sensitivity in equivocal PAS cases.</w:t>
      </w:r>
    </w:p>
    <w:p xmlns:wp14="http://schemas.microsoft.com/office/word/2010/wordml" w:rsidP="65F683DE" wp14:paraId="784FAE94" wp14:textId="323114D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D) Molecular Diagnostics</w:t>
      </w:r>
    </w:p>
    <w:p xmlns:wp14="http://schemas.microsoft.com/office/word/2010/wordml" w:rsidP="65F683DE" wp14:paraId="322469BD" wp14:textId="6D4166A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16S rRNA PCR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(1991)</w:t>
      </w:r>
      <w:r w:rsidRPr="65F683DE" w:rsidR="11FEE3EB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or RT-PCR</w:t>
      </w:r>
    </w:p>
    <w:p xmlns:wp14="http://schemas.microsoft.com/office/word/2010/wordml" w:rsidP="65F683DE" wp14:paraId="210B1607" wp14:textId="47ADAEC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Best specimens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33ED0B4E" wp14:textId="6A43356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Intestinal mucosa (highest yield)</w:t>
      </w:r>
    </w:p>
    <w:p xmlns:wp14="http://schemas.microsoft.com/office/word/2010/wordml" w:rsidP="65F683DE" wp14:paraId="650EC2AD" wp14:textId="4F00FCF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CSF (for CNS disease)</w:t>
      </w:r>
    </w:p>
    <w:p xmlns:wp14="http://schemas.microsoft.com/office/word/2010/wordml" w:rsidP="65F683DE" wp14:paraId="62EB080F" wp14:textId="2C616C3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Synovial fluid</w:t>
      </w:r>
    </w:p>
    <w:p xmlns:wp14="http://schemas.microsoft.com/office/word/2010/wordml" w:rsidP="65F683DE" wp14:paraId="3C0F1B9E" wp14:textId="6FA79CC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Heart valve tissue</w:t>
      </w:r>
    </w:p>
    <w:p xmlns:wp14="http://schemas.microsoft.com/office/word/2010/wordml" w:rsidP="65F683DE" wp14:paraId="0DC48D28" wp14:textId="3CFFC7A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Aqueous humour</w:t>
      </w:r>
    </w:p>
    <w:p xmlns:wp14="http://schemas.microsoft.com/office/word/2010/wordml" w:rsidP="65F683DE" wp14:paraId="11BC28B1" wp14:textId="78CDB34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G) Antimicrobial Susceptibility</w:t>
      </w:r>
    </w:p>
    <w:p xmlns:wp14="http://schemas.microsoft.com/office/word/2010/wordml" w:rsidP="65F683DE" wp14:paraId="2EE8AFD5" wp14:textId="77D755D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No standardised AST — requires intracellular culture.</w:t>
      </w:r>
    </w:p>
    <w:p xmlns:wp14="http://schemas.microsoft.com/office/word/2010/wordml" w:rsidP="65F683DE" wp14:paraId="0FB6CEB7" wp14:textId="6641426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In vitro susceptible to beta-lactams, tetracyclines, macrolides, co-trimoxazole.</w:t>
      </w:r>
    </w:p>
    <w:p xmlns:wp14="http://schemas.microsoft.com/office/word/2010/wordml" w:rsidP="65F683DE" wp14:paraId="6150CB7B" wp14:textId="530516E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Beta-lactams (esp. ceftriaxone, penicillin G) are bactericidal and penetrate tissues; co-trimoxazole and doxycycline penetrate CNS — basis for recommended regimens.</w:t>
      </w:r>
    </w:p>
    <w:p xmlns:wp14="http://schemas.microsoft.com/office/word/2010/wordml" w:rsidP="65F683DE" wp14:paraId="4A04F71C" wp14:textId="334B0C2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3. Clinical Microbiology – Syndromes</w:t>
      </w:r>
    </w:p>
    <w:p xmlns:wp14="http://schemas.microsoft.com/office/word/2010/wordml" w:rsidP="65F683DE" wp14:paraId="034AB6C4" wp14:textId="0F2457A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A) Classic (Intestinal) Whipple’s Disease</w:t>
      </w:r>
    </w:p>
    <w:p xmlns:wp14="http://schemas.microsoft.com/office/word/2010/wordml" w:rsidP="65F683DE" wp14:paraId="11B4C3D5" wp14:textId="02B4E98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Triad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6604F286" wp14:textId="2D2D2A3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Chronic diarrhoea/malabsorption (steatorrhoea, weight loss)</w:t>
      </w:r>
    </w:p>
    <w:p xmlns:wp14="http://schemas.microsoft.com/office/word/2010/wordml" w:rsidP="65F683DE" wp14:paraId="032EFD70" wp14:textId="7A055FC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Arthralgia/arthritis (often migratory, large joints; may precede GI symptoms by years)</w:t>
      </w:r>
    </w:p>
    <w:p xmlns:wp14="http://schemas.microsoft.com/office/word/2010/wordml" w:rsidP="65F683DE" wp14:paraId="36BAC4BE" wp14:textId="56F2087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Fever (intermittent)</w:t>
      </w:r>
    </w:p>
    <w:p xmlns:wp14="http://schemas.microsoft.com/office/word/2010/wordml" w:rsidP="65F683DE" wp14:paraId="3B2FA00C" wp14:textId="67E7272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Other: abdominal pain, lymphadenopathy, hyperpigmentation, anaemia.</w:t>
      </w:r>
    </w:p>
    <w:p xmlns:wp14="http://schemas.microsoft.com/office/word/2010/wordml" w:rsidP="65F683DE" wp14:paraId="0ACACD0D" wp14:textId="6DF7903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B) Extraintestinal Disease</w:t>
      </w:r>
    </w:p>
    <w:p xmlns:wp14="http://schemas.microsoft.com/office/word/2010/wordml" w:rsidP="65F683DE" wp14:paraId="53846A3A" wp14:textId="0521359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Arthropathy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 often initial presentation; non-erosive.</w:t>
      </w:r>
    </w:p>
    <w:p xmlns:wp14="http://schemas.microsoft.com/office/word/2010/wordml" w:rsidP="65F683DE" wp14:paraId="6F1D6F04" wp14:textId="6063E14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Cardiac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culture-negative endocarditis (important differential with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Bartonella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65F683DE" w:rsidR="10864E1C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Coxiella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).</w:t>
      </w:r>
    </w:p>
    <w:p xmlns:wp14="http://schemas.microsoft.com/office/word/2010/wordml" w:rsidP="65F683DE" wp14:paraId="04B19C7F" wp14:textId="28C173F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Neurological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2753C895" wp14:textId="59BB869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Cognitive impairment/dementia-like syndrome</w:t>
      </w:r>
    </w:p>
    <w:p xmlns:wp14="http://schemas.microsoft.com/office/word/2010/wordml" w:rsidP="65F683DE" wp14:paraId="429AA812" wp14:textId="0BE73C9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Supranuclear ophthalmoplegia</w:t>
      </w:r>
    </w:p>
    <w:p xmlns:wp14="http://schemas.microsoft.com/office/word/2010/wordml" w:rsidP="65F683DE" wp14:paraId="3719264D" wp14:textId="623CF90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Myoclonus, seizures, ataxia</w:t>
      </w:r>
    </w:p>
    <w:p xmlns:wp14="http://schemas.microsoft.com/office/word/2010/wordml" w:rsidP="65F683DE" wp14:paraId="33F0FF71" wp14:textId="42EEE67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Untreated CNS involvement → high mortality.</w:t>
      </w:r>
    </w:p>
    <w:p xmlns:wp14="http://schemas.microsoft.com/office/word/2010/wordml" w:rsidP="65F683DE" wp14:paraId="2686AFA7" wp14:textId="393566F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Ocular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 uveitis, vitritis, keratitis, retinitis.</w:t>
      </w:r>
    </w:p>
    <w:p xmlns:wp14="http://schemas.microsoft.com/office/word/2010/wordml" w:rsidP="65F683DE" wp14:paraId="4D924684" wp14:textId="5C4F756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Pulmonary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 pleuritis, chronic cough.</w:t>
      </w:r>
    </w:p>
    <w:p xmlns:wp14="http://schemas.microsoft.com/office/word/2010/wordml" w:rsidP="65F683DE" wp14:paraId="666CF4C4" wp14:textId="416B6B7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4. Pathogenesis</w:t>
      </w:r>
    </w:p>
    <w:p xmlns:wp14="http://schemas.microsoft.com/office/word/2010/wordml" w:rsidP="65F683DE" wp14:paraId="347748E4" wp14:textId="7748ED6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Chronic infection linked to </w:t>
      </w: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defective Th1 immunity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(reduced IFN-γ response).</w:t>
      </w:r>
    </w:p>
    <w:p xmlns:wp14="http://schemas.microsoft.com/office/word/2010/wordml" w:rsidP="65F683DE" wp14:paraId="774B9B6E" wp14:textId="674237E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Organism survives in macrophages → chronic granulomatous/foamy macrophage infiltrates.</w:t>
      </w:r>
    </w:p>
    <w:p xmlns:wp14="http://schemas.microsoft.com/office/word/2010/wordml" w:rsidP="65F683DE" wp14:paraId="62ABEB7E" wp14:textId="609885CB">
      <w:pPr>
        <w:rPr>
          <w:sz w:val="20"/>
          <w:szCs w:val="20"/>
        </w:rPr>
      </w:pPr>
    </w:p>
    <w:p xmlns:wp14="http://schemas.microsoft.com/office/word/2010/wordml" w:rsidP="65F683DE" wp14:paraId="6EA35EB7" wp14:textId="532C33F4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6. Treatment</w:t>
      </w:r>
    </w:p>
    <w:p xmlns:wp14="http://schemas.microsoft.com/office/word/2010/wordml" w:rsidP="65F683DE" wp14:paraId="662495A4" wp14:textId="41894126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Principles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2A99E522" wp14:textId="5196595F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Initial bactericidal IV phase → prolonged oral maintenance with CNS-penetrating agent to prevent relapse.</w:t>
      </w:r>
    </w:p>
    <w:p xmlns:wp14="http://schemas.microsoft.com/office/word/2010/wordml" w:rsidP="65F683DE" wp14:paraId="7CD33AEB" wp14:textId="77E3B115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A) Standard regimen</w:t>
      </w:r>
    </w:p>
    <w:p xmlns:wp14="http://schemas.microsoft.com/office/word/2010/wordml" w:rsidP="65F683DE" wp14:paraId="40108430" wp14:textId="74099452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Initial (2 weeks)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361BFB80" wp14:textId="22D5BDD5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IV ceftriaxone 2 g od</w:t>
      </w:r>
      <w:r>
        <w:br/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OR</w:t>
      </w:r>
    </w:p>
    <w:p xmlns:wp14="http://schemas.microsoft.com/office/word/2010/wordml" w:rsidP="65F683DE" wp14:paraId="37A7B34B" wp14:textId="53F6D3FA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IV penicillin G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2–4 MU q4h + streptomycin 1 g IM od</w:t>
      </w:r>
    </w:p>
    <w:p xmlns:wp14="http://schemas.microsoft.com/office/word/2010/wordml" w:rsidP="65F683DE" wp14:paraId="5656959A" wp14:textId="437CF200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Maintenance (≥12 months; ≥24 months in CNS disease)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65F683DE" wp14:paraId="3E749995" wp14:textId="6623FD2B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Co-trimoxazole 160/800 mg bd</w:t>
      </w:r>
    </w:p>
    <w:p xmlns:wp14="http://schemas.microsoft.com/office/word/2010/wordml" w:rsidP="65F683DE" wp14:paraId="66B6D835" wp14:textId="62FD1B2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B) Alternatives</w:t>
      </w:r>
    </w:p>
    <w:p xmlns:wp14="http://schemas.microsoft.com/office/word/2010/wordml" w:rsidP="65F683DE" wp14:paraId="6BCF7F39" wp14:textId="7CD2AD60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bd + hydroxychloroquine 200 mg tds</w:t>
      </w: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≥12–18 months.</w:t>
      </w:r>
    </w:p>
    <w:p xmlns:wp14="http://schemas.microsoft.com/office/word/2010/wordml" w:rsidP="65F683DE" wp14:paraId="3F6C5207" wp14:textId="1CAC3E20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C) Monitoring</w:t>
      </w:r>
    </w:p>
    <w:p xmlns:wp14="http://schemas.microsoft.com/office/word/2010/wordml" w:rsidP="65F683DE" wp14:paraId="15B29CCB" wp14:textId="17C292CB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noProof w:val="0"/>
          <w:sz w:val="20"/>
          <w:szCs w:val="20"/>
          <w:lang w:val="en-GB"/>
        </w:rPr>
        <w:t>PCR on follow-up biopsy or CSF if initially positive.</w:t>
      </w:r>
    </w:p>
    <w:p xmlns:wp14="http://schemas.microsoft.com/office/word/2010/wordml" w:rsidP="65F683DE" wp14:paraId="61BBC76C" wp14:textId="4AA5E3A6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5F683DE" w:rsidR="567E4492">
        <w:rPr>
          <w:rFonts w:ascii="Aptos" w:hAnsi="Aptos" w:eastAsia="Aptos" w:cs="Aptos"/>
          <w:noProof w:val="0"/>
          <w:sz w:val="20"/>
          <w:szCs w:val="20"/>
          <w:lang w:val="en-GB"/>
        </w:rPr>
        <w:t>Late relapse possible years after apparent cure.</w:t>
      </w:r>
    </w:p>
    <w:p xmlns:wp14="http://schemas.microsoft.com/office/word/2010/wordml" w:rsidP="65F683DE" wp14:paraId="23F85FDB" wp14:textId="0CD7CEF2">
      <w:pPr>
        <w:pStyle w:val="Heading2"/>
        <w:bidi w:val="0"/>
        <w:rPr>
          <w:sz w:val="20"/>
          <w:szCs w:val="20"/>
        </w:rPr>
      </w:pPr>
    </w:p>
    <w:p xmlns:wp14="http://schemas.microsoft.com/office/word/2010/wordml" w:rsidP="65F683DE" wp14:paraId="09CDCCBA" wp14:textId="1FF9FD4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65F683DE" w:rsidR="10864E1C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Quick Reference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26"/>
        <w:gridCol w:w="5121"/>
      </w:tblGrid>
      <w:tr w:rsidR="65F683DE" w:rsidTr="65F683DE" w14:paraId="4876FFFA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2E000DB4" w14:textId="71D567B0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65F683DE" w:rsidR="65F683DE">
              <w:rPr>
                <w:b w:val="1"/>
                <w:bCs w:val="1"/>
                <w:sz w:val="20"/>
                <w:szCs w:val="20"/>
              </w:rPr>
              <w:t>Feature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21D68B7B" w14:textId="386E3EA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65F683DE" w:rsidR="65F683DE">
              <w:rPr>
                <w:b w:val="1"/>
                <w:bCs w:val="1"/>
                <w:i w:val="1"/>
                <w:iCs w:val="1"/>
                <w:sz w:val="20"/>
                <w:szCs w:val="20"/>
              </w:rPr>
              <w:t>Tropheryma whipplei</w:t>
            </w:r>
          </w:p>
        </w:tc>
      </w:tr>
      <w:tr w:rsidR="65F683DE" w:rsidTr="65F683DE" w14:paraId="7B925258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66C5DB9A" w14:textId="3DC18DB8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Gram stain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4E47D314" w14:textId="68F7938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Weak Gram-positive coccobacillus</w:t>
            </w:r>
          </w:p>
        </w:tc>
      </w:tr>
      <w:tr w:rsidR="65F683DE" w:rsidTr="65F683DE" w14:paraId="4B53ADF1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6A2A4DC3" w14:textId="05FBCEE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Acid-fast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25A23CEA" w14:textId="3E2236F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Negative</w:t>
            </w:r>
          </w:p>
        </w:tc>
      </w:tr>
      <w:tr w:rsidR="65F683DE" w:rsidTr="65F683DE" w14:paraId="2C6C463A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42D6FE7B" w14:textId="64B6D24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Special stains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48E472EA" w14:textId="576F9A66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PAS-positive, diastase-resistant macrophages</w:t>
            </w:r>
          </w:p>
        </w:tc>
      </w:tr>
      <w:tr w:rsidR="65F683DE" w:rsidTr="65F683DE" w14:paraId="1C66FFF7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541E4997" w14:textId="75DE037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Culture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433AAD3F" w14:textId="11A6DC49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Cell culture only (reference/research)</w:t>
            </w:r>
          </w:p>
        </w:tc>
      </w:tr>
      <w:tr w:rsidR="65F683DE" w:rsidTr="65F683DE" w14:paraId="39974B13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726A657B" w14:textId="64BC754C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Common presentation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119AED4E" w14:textId="5D75C437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Malabsorption, arthritis, fever</w:t>
            </w:r>
          </w:p>
        </w:tc>
      </w:tr>
      <w:tr w:rsidR="65F683DE" w:rsidTr="65F683DE" w14:paraId="40C046CA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6FAF38C6" w14:textId="7D5D38A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Extraintestinal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69533C4F" w14:textId="3227DA6A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CNS, cardiac, ocular, pulmonary</w:t>
            </w:r>
          </w:p>
        </w:tc>
      </w:tr>
      <w:tr w:rsidR="65F683DE" w:rsidTr="65F683DE" w14:paraId="797C4B00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220F532B" w14:textId="5A0B1AA0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Diagnosis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13EA018F" w14:textId="3EE29D97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Biopsy histology + PCR</w:t>
            </w:r>
          </w:p>
        </w:tc>
      </w:tr>
      <w:tr w:rsidR="65F683DE" w:rsidTr="65F683DE" w14:paraId="1D210049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50B2F214" w14:textId="2E911FAB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First-line treatment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735337F7" w14:textId="581479BD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IV ceftriaxone × 2 wks → co-trimoxazole ≥12 mo</w:t>
            </w:r>
          </w:p>
        </w:tc>
      </w:tr>
      <w:tr w:rsidR="65F683DE" w:rsidTr="65F683DE" w14:paraId="53796A6E">
        <w:trPr>
          <w:trHeight w:val="300"/>
        </w:trPr>
        <w:tc>
          <w:tcPr>
            <w:tcW w:w="2426" w:type="dxa"/>
            <w:tcMar/>
            <w:vAlign w:val="center"/>
          </w:tcPr>
          <w:p w:rsidR="65F683DE" w:rsidP="65F683DE" w:rsidRDefault="65F683DE" w14:paraId="533674F9" w14:textId="3EE38697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Prognosis</w:t>
            </w:r>
          </w:p>
        </w:tc>
        <w:tc>
          <w:tcPr>
            <w:tcW w:w="5121" w:type="dxa"/>
            <w:tcMar/>
            <w:vAlign w:val="center"/>
          </w:tcPr>
          <w:p w:rsidR="65F683DE" w:rsidP="65F683DE" w:rsidRDefault="65F683DE" w14:paraId="11CC1FB6" w14:textId="2C3BE9E1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65F683DE" w:rsidR="65F683DE">
              <w:rPr>
                <w:sz w:val="20"/>
                <w:szCs w:val="20"/>
              </w:rPr>
              <w:t>Fatal if untreated; CNS relapse risk high</w:t>
            </w:r>
          </w:p>
        </w:tc>
      </w:tr>
    </w:tbl>
    <w:p xmlns:wp14="http://schemas.microsoft.com/office/word/2010/wordml" w:rsidP="65F683DE" wp14:paraId="5E5787A5" wp14:textId="673DF148">
      <w:pPr>
        <w:rPr>
          <w:sz w:val="20"/>
          <w:szCs w:val="2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6bb0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067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cd97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fee5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15c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8588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a93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afd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439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072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53b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068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48a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138d1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3b7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5e9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6611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bba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1f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e63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1C679"/>
    <w:rsid w:val="090663E9"/>
    <w:rsid w:val="0E36EAF5"/>
    <w:rsid w:val="10864E1C"/>
    <w:rsid w:val="11A411F9"/>
    <w:rsid w:val="11FEE3EB"/>
    <w:rsid w:val="33238031"/>
    <w:rsid w:val="4261C679"/>
    <w:rsid w:val="52E53CCE"/>
    <w:rsid w:val="567E4492"/>
    <w:rsid w:val="5F3DB203"/>
    <w:rsid w:val="65F683DE"/>
    <w:rsid w:val="66B33BBA"/>
    <w:rsid w:val="67495B72"/>
    <w:rsid w:val="70621C13"/>
    <w:rsid w:val="7A3A28C5"/>
    <w:rsid w:val="7A3A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C679"/>
  <w15:chartTrackingRefBased/>
  <w15:docId w15:val="{9E95D2DA-2C7D-4BF8-9DF8-73634B12B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5F683D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5F683D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5F683D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5F683D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ec033a21dc47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2025-08-11T23:13:09.0763930Z</dcterms:created>
  <dcterms:modified xsi:type="dcterms:W3CDTF">2025-10-07T08:22:48.6323230Z</dcterms:modified>
</coreProperties>
</file>