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1BED" w14:textId="792DC590" w:rsidR="00164BEB" w:rsidRDefault="36C521DE" w:rsidP="2F6FA097">
      <w:pPr>
        <w:pStyle w:val="Heading3"/>
        <w:spacing w:before="281" w:after="281"/>
      </w:pPr>
      <w:r w:rsidRPr="2F6FA097">
        <w:rPr>
          <w:rFonts w:ascii="Aptos" w:eastAsia="Aptos" w:hAnsi="Aptos" w:cs="Aptos"/>
          <w:b/>
          <w:bCs/>
        </w:rPr>
        <w:t>Histoplasmosis</w:t>
      </w:r>
    </w:p>
    <w:p w14:paraId="48C9DBCD" w14:textId="6EAAF228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1. Organism &amp; definition</w:t>
      </w:r>
    </w:p>
    <w:p w14:paraId="154D20D6" w14:textId="270A1A8E" w:rsidR="00164BEB" w:rsidRDefault="36C521DE" w:rsidP="2F6FA09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Histoplasma capsulatum</w:t>
      </w:r>
      <w:r w:rsidRPr="2F6FA097">
        <w:rPr>
          <w:rFonts w:ascii="Aptos" w:eastAsia="Aptos" w:hAnsi="Aptos" w:cs="Aptos"/>
        </w:rPr>
        <w:t xml:space="preserve"> is a dimorphic fungus (mould ≤ 35 °C; yeast at 37 °C). Infection follows inhalation of soil/guano‑borne microconidia; no person‑to‑person spread. </w:t>
      </w:r>
    </w:p>
    <w:p w14:paraId="0DBA2A19" w14:textId="740D7426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2. Epidemiology &amp; transmission</w:t>
      </w:r>
    </w:p>
    <w:p w14:paraId="0F2C7320" w14:textId="5C907523" w:rsidR="00164BEB" w:rsidRDefault="36C521DE" w:rsidP="2F6FA09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</w:rPr>
        <w:t>Endemic to the Ohio, Mississippi &amp; Missouri river valleys, parts of Latin America, Caribbean, Africa/Asia.</w:t>
      </w:r>
    </w:p>
    <w:p w14:paraId="39D36F66" w14:textId="4AF596F2" w:rsidR="00164BEB" w:rsidRDefault="36C521DE" w:rsidP="2F6FA09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</w:rPr>
        <w:t xml:space="preserve">Exposure via bat/bird‑contaminated soil (caves, chicken coops, demolition). </w:t>
      </w:r>
    </w:p>
    <w:p w14:paraId="4703518E" w14:textId="0CC9B47F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3. Pathogenesis</w:t>
      </w:r>
    </w:p>
    <w:p w14:paraId="72DB68B2" w14:textId="3E856016" w:rsidR="00164BEB" w:rsidRDefault="36C521DE" w:rsidP="2F6FA09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</w:rPr>
        <w:t xml:space="preserve">Inhaled microconidia → yeast‑phase in alveoli → survive in macrophages → </w:t>
      </w:r>
      <w:proofErr w:type="spellStart"/>
      <w:r w:rsidRPr="2F6FA097">
        <w:rPr>
          <w:rFonts w:ascii="Aptos" w:eastAsia="Aptos" w:hAnsi="Aptos" w:cs="Aptos"/>
        </w:rPr>
        <w:t>lymphohaematogenous</w:t>
      </w:r>
      <w:proofErr w:type="spellEnd"/>
      <w:r w:rsidRPr="2F6FA097">
        <w:rPr>
          <w:rFonts w:ascii="Aptos" w:eastAsia="Aptos" w:hAnsi="Aptos" w:cs="Aptos"/>
        </w:rPr>
        <w:t xml:space="preserve"> spread; containment requires IFN‑γ/TNF‑α‑mediated granulomas. </w:t>
      </w:r>
    </w:p>
    <w:p w14:paraId="74D0D2EF" w14:textId="0DCC9D8A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4. Risk factors for severe / disseminated disease</w:t>
      </w:r>
    </w:p>
    <w:p w14:paraId="5BBDBE6B" w14:textId="11CC50AE" w:rsidR="00164BEB" w:rsidRDefault="36C521DE" w:rsidP="2F6FA09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CD4 &lt; 150 cells mm⁻³ (HIV)</w:t>
      </w:r>
      <w:r w:rsidRPr="2F6FA097">
        <w:rPr>
          <w:rFonts w:ascii="Aptos" w:eastAsia="Aptos" w:hAnsi="Aptos" w:cs="Aptos"/>
        </w:rPr>
        <w:t>, infants, elderly</w:t>
      </w:r>
    </w:p>
    <w:p w14:paraId="2BDC20C9" w14:textId="2D1DFA8B" w:rsidR="00164BEB" w:rsidRDefault="36C521DE" w:rsidP="2F6FA09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</w:rPr>
        <w:t>TNF‑α antagonists, JAK inhibitors, prolonged steroids, calcineurin inhibitors, cytotoxic chemo‑neutropenia</w:t>
      </w:r>
    </w:p>
    <w:p w14:paraId="27D798F2" w14:textId="36ED12A4" w:rsidR="00164BEB" w:rsidRDefault="36C521DE" w:rsidP="2F6FA09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</w:rPr>
        <w:t xml:space="preserve">Solid‑organ / stem‑cell transplant, GVHD </w:t>
      </w:r>
    </w:p>
    <w:p w14:paraId="64AE2683" w14:textId="1F3DA286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5. Clinical forms (memorise for viva)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6"/>
        <w:gridCol w:w="3140"/>
        <w:gridCol w:w="3219"/>
      </w:tblGrid>
      <w:tr w:rsidR="2F6FA097" w14:paraId="2027D2D5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2B4C6D39" w14:textId="0BB53F70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Form</w:t>
            </w:r>
          </w:p>
        </w:tc>
        <w:tc>
          <w:tcPr>
            <w:tcW w:w="3140" w:type="dxa"/>
            <w:vAlign w:val="center"/>
          </w:tcPr>
          <w:p w14:paraId="02398941" w14:textId="46AC0C3F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Typical host / trigger</w:t>
            </w:r>
          </w:p>
        </w:tc>
        <w:tc>
          <w:tcPr>
            <w:tcW w:w="3219" w:type="dxa"/>
            <w:vAlign w:val="center"/>
          </w:tcPr>
          <w:p w14:paraId="796415CA" w14:textId="562A61A8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Key clinical features</w:t>
            </w:r>
          </w:p>
        </w:tc>
      </w:tr>
      <w:tr w:rsidR="2F6FA097" w14:paraId="20C1CD40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62547501" w14:textId="3C68780C" w:rsidR="2F6FA097" w:rsidRDefault="2F6FA097" w:rsidP="2F6FA097">
            <w:pPr>
              <w:spacing w:after="0"/>
            </w:pPr>
            <w:r>
              <w:t>Latent asymptomatic</w:t>
            </w:r>
          </w:p>
        </w:tc>
        <w:tc>
          <w:tcPr>
            <w:tcW w:w="3140" w:type="dxa"/>
            <w:vAlign w:val="center"/>
          </w:tcPr>
          <w:p w14:paraId="04E69695" w14:textId="65CEBCA8" w:rsidR="2F6FA097" w:rsidRDefault="2F6FA097" w:rsidP="2F6FA097">
            <w:pPr>
              <w:spacing w:after="0"/>
            </w:pPr>
            <w:r>
              <w:t>Low inoculum</w:t>
            </w:r>
          </w:p>
        </w:tc>
        <w:tc>
          <w:tcPr>
            <w:tcW w:w="3219" w:type="dxa"/>
            <w:vAlign w:val="center"/>
          </w:tcPr>
          <w:p w14:paraId="452E45F6" w14:textId="20AE19AB" w:rsidR="2F6FA097" w:rsidRDefault="2F6FA097" w:rsidP="2F6FA097">
            <w:pPr>
              <w:spacing w:after="0"/>
            </w:pPr>
            <w:r>
              <w:t>Incidental calcified granuloma</w:t>
            </w:r>
          </w:p>
        </w:tc>
      </w:tr>
      <w:tr w:rsidR="2F6FA097" w14:paraId="65E03FCA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2E7D0F56" w14:textId="13922C77" w:rsidR="2F6FA097" w:rsidRDefault="2F6FA097" w:rsidP="2F6FA097">
            <w:pPr>
              <w:spacing w:after="0"/>
            </w:pPr>
            <w:r>
              <w:t>Acute pulmonary &lt; 4 </w:t>
            </w:r>
            <w:proofErr w:type="spellStart"/>
            <w:r>
              <w:t>wks</w:t>
            </w:r>
            <w:proofErr w:type="spellEnd"/>
          </w:p>
        </w:tc>
        <w:tc>
          <w:tcPr>
            <w:tcW w:w="3140" w:type="dxa"/>
            <w:vAlign w:val="center"/>
          </w:tcPr>
          <w:p w14:paraId="14CD9D6E" w14:textId="0E39E6F5" w:rsidR="2F6FA097" w:rsidRDefault="2F6FA097" w:rsidP="2F6FA097">
            <w:pPr>
              <w:spacing w:after="0"/>
            </w:pPr>
            <w:r>
              <w:t>Small inoculum</w:t>
            </w:r>
          </w:p>
        </w:tc>
        <w:tc>
          <w:tcPr>
            <w:tcW w:w="3219" w:type="dxa"/>
            <w:vAlign w:val="center"/>
          </w:tcPr>
          <w:p w14:paraId="1FFF5B35" w14:textId="68D0814F" w:rsidR="2F6FA097" w:rsidRDefault="2F6FA097" w:rsidP="2F6FA097">
            <w:pPr>
              <w:spacing w:after="0"/>
            </w:pPr>
            <w:r>
              <w:t>‘Flu‑like’ illness</w:t>
            </w:r>
          </w:p>
        </w:tc>
      </w:tr>
      <w:tr w:rsidR="2F6FA097" w14:paraId="5BED4A3D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00C79F20" w14:textId="08552587" w:rsidR="2F6FA097" w:rsidRDefault="2F6FA097" w:rsidP="2F6FA097">
            <w:pPr>
              <w:spacing w:after="0"/>
            </w:pPr>
            <w:r>
              <w:t>Acute pulmonary &gt; 4 </w:t>
            </w:r>
            <w:proofErr w:type="spellStart"/>
            <w:r>
              <w:t>wks</w:t>
            </w:r>
            <w:proofErr w:type="spellEnd"/>
          </w:p>
        </w:tc>
        <w:tc>
          <w:tcPr>
            <w:tcW w:w="3140" w:type="dxa"/>
            <w:vAlign w:val="center"/>
          </w:tcPr>
          <w:p w14:paraId="4E675DFF" w14:textId="21992B7B" w:rsidR="2F6FA097" w:rsidRDefault="2F6FA097" w:rsidP="2F6FA097">
            <w:pPr>
              <w:spacing w:after="0"/>
            </w:pPr>
            <w:r>
              <w:t>Large inoculum</w:t>
            </w:r>
          </w:p>
        </w:tc>
        <w:tc>
          <w:tcPr>
            <w:tcW w:w="3219" w:type="dxa"/>
            <w:vAlign w:val="center"/>
          </w:tcPr>
          <w:p w14:paraId="11FE3C6A" w14:textId="15192450" w:rsidR="2F6FA097" w:rsidRDefault="2F6FA097" w:rsidP="2F6FA097">
            <w:pPr>
              <w:spacing w:after="0"/>
            </w:pPr>
            <w:r>
              <w:t xml:space="preserve">Protracted systemic/resp. </w:t>
            </w:r>
            <w:proofErr w:type="spellStart"/>
            <w:r>
              <w:t>Sx</w:t>
            </w:r>
            <w:proofErr w:type="spellEnd"/>
          </w:p>
        </w:tc>
      </w:tr>
      <w:tr w:rsidR="2F6FA097" w14:paraId="18B3C04E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113B0AB7" w14:textId="22DFA34B" w:rsidR="2F6FA097" w:rsidRDefault="2F6FA097" w:rsidP="2F6FA097">
            <w:pPr>
              <w:spacing w:after="0"/>
            </w:pPr>
            <w:r>
              <w:t>Chronic cavitary pulmonary</w:t>
            </w:r>
          </w:p>
        </w:tc>
        <w:tc>
          <w:tcPr>
            <w:tcW w:w="3140" w:type="dxa"/>
            <w:vAlign w:val="center"/>
          </w:tcPr>
          <w:p w14:paraId="324C01C5" w14:textId="4819112E" w:rsidR="2F6FA097" w:rsidRDefault="2F6FA097" w:rsidP="2F6FA097">
            <w:pPr>
              <w:spacing w:after="0"/>
            </w:pPr>
            <w:r>
              <w:t>COPD</w:t>
            </w:r>
          </w:p>
        </w:tc>
        <w:tc>
          <w:tcPr>
            <w:tcW w:w="3219" w:type="dxa"/>
            <w:vAlign w:val="center"/>
          </w:tcPr>
          <w:p w14:paraId="56289F79" w14:textId="636A9F7F" w:rsidR="2F6FA097" w:rsidRDefault="2F6FA097" w:rsidP="2F6FA097">
            <w:pPr>
              <w:spacing w:after="0"/>
            </w:pPr>
            <w:r>
              <w:t>Cavities, haemoptysis</w:t>
            </w:r>
          </w:p>
        </w:tc>
      </w:tr>
      <w:tr w:rsidR="2F6FA097" w14:paraId="6D62755C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388E5F75" w14:textId="11485559" w:rsidR="2F6FA097" w:rsidRDefault="2F6FA097" w:rsidP="2F6FA097">
            <w:pPr>
              <w:spacing w:after="0"/>
            </w:pPr>
            <w:r>
              <w:t>Progressive disseminated</w:t>
            </w:r>
          </w:p>
        </w:tc>
        <w:tc>
          <w:tcPr>
            <w:tcW w:w="3140" w:type="dxa"/>
            <w:vAlign w:val="center"/>
          </w:tcPr>
          <w:p w14:paraId="3B467B55" w14:textId="60FFD86B" w:rsidR="2F6FA097" w:rsidRDefault="2F6FA097" w:rsidP="2F6FA097">
            <w:pPr>
              <w:spacing w:after="0"/>
            </w:pPr>
            <w:r>
              <w:t>Immunocompromised/infants</w:t>
            </w:r>
          </w:p>
        </w:tc>
        <w:tc>
          <w:tcPr>
            <w:tcW w:w="3219" w:type="dxa"/>
            <w:vAlign w:val="center"/>
          </w:tcPr>
          <w:p w14:paraId="508CCC19" w14:textId="24C3D596" w:rsidR="2F6FA097" w:rsidRDefault="2F6FA097" w:rsidP="2F6FA097">
            <w:pPr>
              <w:spacing w:after="0"/>
            </w:pPr>
            <w:r>
              <w:t>Fever, HSM, pancytopenia</w:t>
            </w:r>
          </w:p>
        </w:tc>
      </w:tr>
      <w:tr w:rsidR="2F6FA097" w14:paraId="158A2DC1" w14:textId="77777777" w:rsidTr="2F6FA097">
        <w:trPr>
          <w:trHeight w:val="300"/>
        </w:trPr>
        <w:tc>
          <w:tcPr>
            <w:tcW w:w="3006" w:type="dxa"/>
            <w:vAlign w:val="center"/>
          </w:tcPr>
          <w:p w14:paraId="0EC594EE" w14:textId="44066AC5" w:rsidR="2F6FA097" w:rsidRDefault="2F6FA097" w:rsidP="2F6FA097">
            <w:pPr>
              <w:spacing w:after="0"/>
            </w:pPr>
            <w:r>
              <w:t>Mediastinal/fibrosing</w:t>
            </w:r>
          </w:p>
        </w:tc>
        <w:tc>
          <w:tcPr>
            <w:tcW w:w="3140" w:type="dxa"/>
            <w:vAlign w:val="center"/>
          </w:tcPr>
          <w:p w14:paraId="07F185A9" w14:textId="3D36A44C" w:rsidR="2F6FA097" w:rsidRDefault="2F6FA097" w:rsidP="2F6FA097">
            <w:pPr>
              <w:spacing w:after="0"/>
            </w:pPr>
            <w:r>
              <w:t>Post‑acute</w:t>
            </w:r>
          </w:p>
        </w:tc>
        <w:tc>
          <w:tcPr>
            <w:tcW w:w="3219" w:type="dxa"/>
            <w:vAlign w:val="center"/>
          </w:tcPr>
          <w:p w14:paraId="257FDD53" w14:textId="5AA31A20" w:rsidR="2F6FA097" w:rsidRDefault="2F6FA097" w:rsidP="2F6FA097">
            <w:pPr>
              <w:spacing w:after="0"/>
            </w:pPr>
            <w:r>
              <w:t>Obstructive syndromes</w:t>
            </w:r>
          </w:p>
        </w:tc>
      </w:tr>
    </w:tbl>
    <w:p w14:paraId="7CDF8DAE" w14:textId="6B71C09A" w:rsidR="00164BEB" w:rsidRDefault="00164BEB" w:rsidP="2F6FA097"/>
    <w:p w14:paraId="71EB3C14" w14:textId="393BCFA7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6. Presentations &amp; associated complications (added per user request)</w:t>
      </w:r>
    </w:p>
    <w:p w14:paraId="2AEB2B92" w14:textId="2979FA5E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>Acute pulmonary histoplasmosis may trigger or be accompanied by:</w:t>
      </w:r>
    </w:p>
    <w:p w14:paraId="3D48B676" w14:textId="23D609AF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Pulmonary complications</w:t>
      </w:r>
      <w:r w:rsidRPr="2F6FA097">
        <w:rPr>
          <w:rFonts w:ascii="Aptos" w:eastAsia="Aptos" w:hAnsi="Aptos" w:cs="Aptos"/>
        </w:rPr>
        <w:t> – pleural effusions, cavitary disease</w:t>
      </w:r>
    </w:p>
    <w:p w14:paraId="1376CDF8" w14:textId="2012ADAA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lastRenderedPageBreak/>
        <w:t>Cardio‑inflammatory</w:t>
      </w:r>
      <w:r w:rsidRPr="2F6FA097">
        <w:rPr>
          <w:rFonts w:ascii="Aptos" w:eastAsia="Aptos" w:hAnsi="Aptos" w:cs="Aptos"/>
        </w:rPr>
        <w:t> – pericarditis</w:t>
      </w:r>
    </w:p>
    <w:p w14:paraId="7490C4B1" w14:textId="608D6990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Musculoskeletal</w:t>
      </w:r>
      <w:r w:rsidRPr="2F6FA097">
        <w:rPr>
          <w:rFonts w:ascii="Aptos" w:eastAsia="Aptos" w:hAnsi="Aptos" w:cs="Aptos"/>
        </w:rPr>
        <w:t> – arthritis / arthralgia</w:t>
      </w:r>
    </w:p>
    <w:p w14:paraId="06A21272" w14:textId="35F13025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Dermatological</w:t>
      </w:r>
      <w:r w:rsidRPr="2F6FA097">
        <w:rPr>
          <w:rFonts w:ascii="Aptos" w:eastAsia="Aptos" w:hAnsi="Aptos" w:cs="Aptos"/>
        </w:rPr>
        <w:t> – erythema nodosum, erythema multiforme, various skin lesions</w:t>
      </w:r>
    </w:p>
    <w:p w14:paraId="5FD610BB" w14:textId="0FFD5297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Disseminated/extrapulmonary</w:t>
      </w:r>
      <w:r w:rsidRPr="2F6FA097">
        <w:rPr>
          <w:rFonts w:ascii="Aptos" w:eastAsia="Aptos" w:hAnsi="Aptos" w:cs="Aptos"/>
        </w:rPr>
        <w:t> – hepatosplenomegaly, abnormal LFTs, pancytopenia, gastrointestinal involvement, sepsis‑like syndrome</w:t>
      </w:r>
    </w:p>
    <w:p w14:paraId="1AAA453C" w14:textId="00002B4F" w:rsidR="00164BEB" w:rsidRDefault="36C521DE" w:rsidP="2F6FA0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Central nervous system</w:t>
      </w:r>
      <w:r w:rsidRPr="2F6FA097">
        <w:rPr>
          <w:rFonts w:ascii="Aptos" w:eastAsia="Aptos" w:hAnsi="Aptos" w:cs="Aptos"/>
        </w:rPr>
        <w:t xml:space="preserve"> – focal brain lesion or meningitis </w:t>
      </w:r>
    </w:p>
    <w:p w14:paraId="3E9EAC82" w14:textId="72AAB34A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>(These are high‑yield short‑answer items – keep the list on standby for stem‑based questions.)</w:t>
      </w:r>
    </w:p>
    <w:p w14:paraId="0B43F3EA" w14:textId="45759779" w:rsidR="00164BEB" w:rsidRDefault="00164BEB" w:rsidP="2F6FA097"/>
    <w:p w14:paraId="33C9B736" w14:textId="04029A89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7. Differential diagnosis</w:t>
      </w:r>
    </w:p>
    <w:p w14:paraId="60CD9526" w14:textId="0A99022E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 xml:space="preserve">CAP, </w:t>
      </w:r>
      <w:r w:rsidRPr="2F6FA097">
        <w:rPr>
          <w:rFonts w:ascii="Aptos" w:eastAsia="Aptos" w:hAnsi="Aptos" w:cs="Aptos"/>
          <w:b/>
          <w:bCs/>
        </w:rPr>
        <w:t>TB</w:t>
      </w:r>
      <w:r w:rsidRPr="2F6FA097">
        <w:rPr>
          <w:rFonts w:ascii="Aptos" w:eastAsia="Aptos" w:hAnsi="Aptos" w:cs="Aptos"/>
        </w:rPr>
        <w:t xml:space="preserve">, </w:t>
      </w:r>
      <w:r w:rsidRPr="2F6FA097">
        <w:rPr>
          <w:rFonts w:ascii="Aptos" w:eastAsia="Aptos" w:hAnsi="Aptos" w:cs="Aptos"/>
          <w:b/>
          <w:bCs/>
        </w:rPr>
        <w:t>Pneumocystis </w:t>
      </w:r>
      <w:proofErr w:type="spellStart"/>
      <w:r w:rsidRPr="2F6FA097">
        <w:rPr>
          <w:rFonts w:ascii="Aptos" w:eastAsia="Aptos" w:hAnsi="Aptos" w:cs="Aptos"/>
          <w:b/>
          <w:bCs/>
        </w:rPr>
        <w:t>jirovecii</w:t>
      </w:r>
      <w:proofErr w:type="spellEnd"/>
      <w:r w:rsidRPr="2F6FA097">
        <w:rPr>
          <w:rFonts w:ascii="Aptos" w:eastAsia="Aptos" w:hAnsi="Aptos" w:cs="Aptos"/>
        </w:rPr>
        <w:t xml:space="preserve">, </w:t>
      </w:r>
      <w:r w:rsidRPr="2F6FA097">
        <w:rPr>
          <w:rFonts w:ascii="Aptos" w:eastAsia="Aptos" w:hAnsi="Aptos" w:cs="Aptos"/>
          <w:b/>
          <w:bCs/>
        </w:rPr>
        <w:t>Sarcoidosis</w:t>
      </w:r>
      <w:r w:rsidRPr="2F6FA097">
        <w:rPr>
          <w:rFonts w:ascii="Aptos" w:eastAsia="Aptos" w:hAnsi="Aptos" w:cs="Aptos"/>
        </w:rPr>
        <w:t xml:space="preserve">, </w:t>
      </w:r>
      <w:r w:rsidRPr="2F6FA097">
        <w:rPr>
          <w:rFonts w:ascii="Aptos" w:eastAsia="Aptos" w:hAnsi="Aptos" w:cs="Aptos"/>
          <w:b/>
          <w:bCs/>
        </w:rPr>
        <w:t>Blastomycosis</w:t>
      </w:r>
      <w:r w:rsidRPr="2F6FA097">
        <w:rPr>
          <w:rFonts w:ascii="Aptos" w:eastAsia="Aptos" w:hAnsi="Aptos" w:cs="Aptos"/>
        </w:rPr>
        <w:t xml:space="preserve">, </w:t>
      </w:r>
      <w:r w:rsidRPr="2F6FA097">
        <w:rPr>
          <w:rFonts w:ascii="Aptos" w:eastAsia="Aptos" w:hAnsi="Aptos" w:cs="Aptos"/>
          <w:b/>
          <w:bCs/>
        </w:rPr>
        <w:t>Coccidioidomycosis</w:t>
      </w:r>
      <w:r w:rsidRPr="2F6FA097">
        <w:rPr>
          <w:rFonts w:ascii="Aptos" w:eastAsia="Aptos" w:hAnsi="Aptos" w:cs="Aptos"/>
        </w:rPr>
        <w:t xml:space="preserve">, primary lung malignancy. </w:t>
      </w:r>
    </w:p>
    <w:p w14:paraId="37850B6B" w14:textId="02487134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8. Investigations</w:t>
      </w:r>
    </w:p>
    <w:p w14:paraId="1AB0E119" w14:textId="1EDF3734" w:rsidR="00164BEB" w:rsidRDefault="36C521DE" w:rsidP="2F6FA0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Urine/serum antigen EIA</w:t>
      </w:r>
      <w:r w:rsidRPr="2F6FA097">
        <w:rPr>
          <w:rFonts w:ascii="Aptos" w:eastAsia="Aptos" w:hAnsi="Aptos" w:cs="Aptos"/>
        </w:rPr>
        <w:t xml:space="preserve"> – &gt; 90 % sensitive in disseminated HIV, ↓30 % in acute localised disease.</w:t>
      </w:r>
    </w:p>
    <w:p w14:paraId="4815EC5B" w14:textId="798B6FA6" w:rsidR="00164BEB" w:rsidRDefault="36C521DE" w:rsidP="2F6FA0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Culture</w:t>
      </w:r>
      <w:r w:rsidRPr="2F6FA097">
        <w:rPr>
          <w:rFonts w:ascii="Aptos" w:eastAsia="Aptos" w:hAnsi="Aptos" w:cs="Aptos"/>
        </w:rPr>
        <w:t xml:space="preserve"> – sputum/BAL/blood; 4–6 </w:t>
      </w:r>
      <w:proofErr w:type="spellStart"/>
      <w:r w:rsidRPr="2F6FA097">
        <w:rPr>
          <w:rFonts w:ascii="Aptos" w:eastAsia="Aptos" w:hAnsi="Aptos" w:cs="Aptos"/>
        </w:rPr>
        <w:t>wks</w:t>
      </w:r>
      <w:proofErr w:type="spellEnd"/>
      <w:r w:rsidRPr="2F6FA097">
        <w:rPr>
          <w:rFonts w:ascii="Aptos" w:eastAsia="Aptos" w:hAnsi="Aptos" w:cs="Aptos"/>
        </w:rPr>
        <w:t>; 60–85 % yield disseminated, 15 % focal.</w:t>
      </w:r>
    </w:p>
    <w:p w14:paraId="57396BE5" w14:textId="5BDD46DA" w:rsidR="00164BEB" w:rsidRDefault="36C521DE" w:rsidP="2F6FA0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Serology</w:t>
      </w:r>
      <w:r w:rsidRPr="2F6FA097">
        <w:rPr>
          <w:rFonts w:ascii="Aptos" w:eastAsia="Aptos" w:hAnsi="Aptos" w:cs="Aptos"/>
        </w:rPr>
        <w:t xml:space="preserve"> – CF ≥ 1:32 or four‑fold rise; immunodiffusion M‑band (common) ± H‑band (severe).</w:t>
      </w:r>
    </w:p>
    <w:p w14:paraId="0EDDEFBB" w14:textId="7C3B8BDD" w:rsidR="00164BEB" w:rsidRDefault="36C521DE" w:rsidP="2F6FA0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Histology</w:t>
      </w:r>
      <w:r w:rsidRPr="2F6FA097">
        <w:rPr>
          <w:rFonts w:ascii="Aptos" w:eastAsia="Aptos" w:hAnsi="Aptos" w:cs="Aptos"/>
        </w:rPr>
        <w:t xml:space="preserve"> – 2–4 µm yeasts on PAS/GMS.</w:t>
      </w:r>
    </w:p>
    <w:p w14:paraId="13227DAB" w14:textId="597FD73A" w:rsidR="00164BEB" w:rsidRDefault="36C521DE" w:rsidP="2F6FA0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Imaging</w:t>
      </w:r>
      <w:r w:rsidRPr="2F6FA097">
        <w:rPr>
          <w:rFonts w:ascii="Aptos" w:eastAsia="Aptos" w:hAnsi="Aptos" w:cs="Aptos"/>
        </w:rPr>
        <w:t xml:space="preserve"> – CXR reticulonodular ± nodes/cavities; CT “snow‑storm” pattern in heavy inoculum. </w:t>
      </w:r>
    </w:p>
    <w:p w14:paraId="51CEAA37" w14:textId="573E4578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9. Management (IDSA 2007 / ECMM‑ISHAM 2021)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501"/>
        <w:gridCol w:w="3272"/>
        <w:gridCol w:w="3370"/>
      </w:tblGrid>
      <w:tr w:rsidR="2F6FA097" w14:paraId="460DEB06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79D89DE6" w14:textId="05EDA805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Scenario</w:t>
            </w:r>
          </w:p>
        </w:tc>
        <w:tc>
          <w:tcPr>
            <w:tcW w:w="3272" w:type="dxa"/>
            <w:vAlign w:val="center"/>
          </w:tcPr>
          <w:p w14:paraId="78442E32" w14:textId="00A1D04B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Induction</w:t>
            </w:r>
          </w:p>
        </w:tc>
        <w:tc>
          <w:tcPr>
            <w:tcW w:w="3370" w:type="dxa"/>
            <w:vAlign w:val="center"/>
          </w:tcPr>
          <w:p w14:paraId="45C001CF" w14:textId="47E35AD7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Step‑down / maintenance</w:t>
            </w:r>
          </w:p>
        </w:tc>
      </w:tr>
      <w:tr w:rsidR="2F6FA097" w14:paraId="676CC3EC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64B0E569" w14:textId="0C858CD3" w:rsidR="2F6FA097" w:rsidRDefault="2F6FA097" w:rsidP="2F6FA097">
            <w:pPr>
              <w:spacing w:after="0"/>
            </w:pPr>
            <w:r>
              <w:t>Severe acute or disseminated</w:t>
            </w:r>
          </w:p>
        </w:tc>
        <w:tc>
          <w:tcPr>
            <w:tcW w:w="3272" w:type="dxa"/>
            <w:vAlign w:val="center"/>
          </w:tcPr>
          <w:p w14:paraId="1DF45D1B" w14:textId="1B5C695E" w:rsidR="2F6FA097" w:rsidRDefault="2F6FA097" w:rsidP="2F6FA097">
            <w:pPr>
              <w:spacing w:after="0"/>
            </w:pPr>
            <w:r>
              <w:t>L‑</w:t>
            </w:r>
            <w:proofErr w:type="spellStart"/>
            <w:r>
              <w:t>AmB</w:t>
            </w:r>
            <w:proofErr w:type="spellEnd"/>
            <w:r>
              <w:t xml:space="preserve"> 3–5 mg kg⁻¹ d⁻¹ × 1–2 </w:t>
            </w:r>
            <w:proofErr w:type="spellStart"/>
            <w:r>
              <w:t>wks</w:t>
            </w:r>
            <w:proofErr w:type="spellEnd"/>
          </w:p>
        </w:tc>
        <w:tc>
          <w:tcPr>
            <w:tcW w:w="3370" w:type="dxa"/>
            <w:vAlign w:val="center"/>
          </w:tcPr>
          <w:p w14:paraId="7C8AE8A4" w14:textId="259283F7" w:rsidR="2F6FA097" w:rsidRDefault="2F6FA097" w:rsidP="2F6FA097">
            <w:pPr>
              <w:spacing w:after="0"/>
            </w:pPr>
            <w:r>
              <w:t>Itraconazole ≥ 12 </w:t>
            </w:r>
            <w:proofErr w:type="spellStart"/>
            <w:r>
              <w:t>mo</w:t>
            </w:r>
            <w:proofErr w:type="spellEnd"/>
          </w:p>
        </w:tc>
      </w:tr>
      <w:tr w:rsidR="2F6FA097" w14:paraId="064D484F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49F3E0CA" w14:textId="40DD1C3C" w:rsidR="2F6FA097" w:rsidRDefault="2F6FA097" w:rsidP="2F6FA097">
            <w:pPr>
              <w:spacing w:after="0"/>
            </w:pPr>
            <w:r>
              <w:t>CNS disease</w:t>
            </w:r>
          </w:p>
        </w:tc>
        <w:tc>
          <w:tcPr>
            <w:tcW w:w="3272" w:type="dxa"/>
            <w:vAlign w:val="center"/>
          </w:tcPr>
          <w:p w14:paraId="0B3019D2" w14:textId="006927E7" w:rsidR="2F6FA097" w:rsidRDefault="2F6FA097" w:rsidP="2F6FA097">
            <w:pPr>
              <w:spacing w:after="0"/>
            </w:pPr>
            <w:r>
              <w:t>L‑</w:t>
            </w:r>
            <w:proofErr w:type="spellStart"/>
            <w:r>
              <w:t>AmB</w:t>
            </w:r>
            <w:proofErr w:type="spellEnd"/>
            <w:r>
              <w:t xml:space="preserve"> 4–6 </w:t>
            </w:r>
            <w:proofErr w:type="spellStart"/>
            <w:r>
              <w:t>wks</w:t>
            </w:r>
            <w:proofErr w:type="spellEnd"/>
          </w:p>
        </w:tc>
        <w:tc>
          <w:tcPr>
            <w:tcW w:w="3370" w:type="dxa"/>
            <w:vAlign w:val="center"/>
          </w:tcPr>
          <w:p w14:paraId="2945BE0C" w14:textId="002325F3" w:rsidR="2F6FA097" w:rsidRDefault="2F6FA097" w:rsidP="2F6FA097">
            <w:pPr>
              <w:spacing w:after="0"/>
            </w:pPr>
            <w:r>
              <w:t>Itraconazole ≥ 12 </w:t>
            </w:r>
            <w:proofErr w:type="spellStart"/>
            <w:r>
              <w:t>mo</w:t>
            </w:r>
            <w:proofErr w:type="spellEnd"/>
          </w:p>
        </w:tc>
      </w:tr>
      <w:tr w:rsidR="2F6FA097" w14:paraId="05702BC9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10A5148B" w14:textId="4D32CD86" w:rsidR="2F6FA097" w:rsidRDefault="2F6FA097" w:rsidP="2F6FA097">
            <w:pPr>
              <w:spacing w:after="0"/>
            </w:pPr>
            <w:r>
              <w:t>Mild–moderate pulmonary (&gt; 4 </w:t>
            </w:r>
            <w:proofErr w:type="spellStart"/>
            <w:r>
              <w:t>wks</w:t>
            </w:r>
            <w:proofErr w:type="spellEnd"/>
            <w:r>
              <w:t>)</w:t>
            </w:r>
          </w:p>
        </w:tc>
        <w:tc>
          <w:tcPr>
            <w:tcW w:w="3272" w:type="dxa"/>
            <w:vAlign w:val="center"/>
          </w:tcPr>
          <w:p w14:paraId="1E1A0C94" w14:textId="0BC5E0D7" w:rsidR="2F6FA097" w:rsidRDefault="2F6FA097" w:rsidP="2F6FA097">
            <w:pPr>
              <w:spacing w:after="0"/>
            </w:pPr>
            <w:r>
              <w:t>—</w:t>
            </w:r>
          </w:p>
        </w:tc>
        <w:tc>
          <w:tcPr>
            <w:tcW w:w="3370" w:type="dxa"/>
            <w:vAlign w:val="center"/>
          </w:tcPr>
          <w:p w14:paraId="59172E9C" w14:textId="3329DB97" w:rsidR="2F6FA097" w:rsidRDefault="2F6FA097" w:rsidP="2F6FA097">
            <w:pPr>
              <w:spacing w:after="0"/>
            </w:pPr>
            <w:r>
              <w:t>Itraconazole 6–12 </w:t>
            </w:r>
            <w:proofErr w:type="spellStart"/>
            <w:r>
              <w:t>wks</w:t>
            </w:r>
            <w:proofErr w:type="spellEnd"/>
          </w:p>
        </w:tc>
      </w:tr>
      <w:tr w:rsidR="2F6FA097" w14:paraId="6B5081D1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61FF70D5" w14:textId="12C91E9B" w:rsidR="2F6FA097" w:rsidRDefault="2F6FA097" w:rsidP="2F6FA097">
            <w:pPr>
              <w:spacing w:after="0"/>
            </w:pPr>
            <w:r>
              <w:t>Chronic cavitary pulmonary</w:t>
            </w:r>
          </w:p>
        </w:tc>
        <w:tc>
          <w:tcPr>
            <w:tcW w:w="3272" w:type="dxa"/>
            <w:vAlign w:val="center"/>
          </w:tcPr>
          <w:p w14:paraId="561393EF" w14:textId="4E06ADC0" w:rsidR="2F6FA097" w:rsidRDefault="2F6FA097" w:rsidP="2F6FA097">
            <w:pPr>
              <w:spacing w:after="0"/>
            </w:pPr>
            <w:r>
              <w:t>—</w:t>
            </w:r>
          </w:p>
        </w:tc>
        <w:tc>
          <w:tcPr>
            <w:tcW w:w="3370" w:type="dxa"/>
            <w:vAlign w:val="center"/>
          </w:tcPr>
          <w:p w14:paraId="1A4243B1" w14:textId="7C555FEB" w:rsidR="2F6FA097" w:rsidRDefault="2F6FA097" w:rsidP="2F6FA097">
            <w:pPr>
              <w:spacing w:after="0"/>
            </w:pPr>
            <w:r>
              <w:t>Itraconazole ≥ 12 </w:t>
            </w:r>
            <w:proofErr w:type="spellStart"/>
            <w:r>
              <w:t>mo</w:t>
            </w:r>
            <w:proofErr w:type="spellEnd"/>
            <w:r>
              <w:t xml:space="preserve"> (high relapse)</w:t>
            </w:r>
          </w:p>
        </w:tc>
      </w:tr>
      <w:tr w:rsidR="2F6FA097" w14:paraId="3F769AA3" w14:textId="77777777" w:rsidTr="2F6FA097">
        <w:trPr>
          <w:trHeight w:val="300"/>
        </w:trPr>
        <w:tc>
          <w:tcPr>
            <w:tcW w:w="3501" w:type="dxa"/>
            <w:vAlign w:val="center"/>
          </w:tcPr>
          <w:p w14:paraId="331F4474" w14:textId="51A84CC7" w:rsidR="2F6FA097" w:rsidRDefault="2F6FA097" w:rsidP="2F6FA097">
            <w:pPr>
              <w:spacing w:after="0"/>
            </w:pPr>
            <w:r>
              <w:t>Pregnancy</w:t>
            </w:r>
          </w:p>
        </w:tc>
        <w:tc>
          <w:tcPr>
            <w:tcW w:w="3272" w:type="dxa"/>
            <w:vAlign w:val="center"/>
          </w:tcPr>
          <w:p w14:paraId="306BE574" w14:textId="63A9F17A" w:rsidR="2F6FA097" w:rsidRDefault="2F6FA097" w:rsidP="2F6FA097">
            <w:pPr>
              <w:spacing w:after="0"/>
            </w:pPr>
            <w:r>
              <w:t>Amphotericin B throughout</w:t>
            </w:r>
          </w:p>
        </w:tc>
        <w:tc>
          <w:tcPr>
            <w:tcW w:w="3370" w:type="dxa"/>
            <w:vAlign w:val="center"/>
          </w:tcPr>
          <w:p w14:paraId="59840555" w14:textId="486A6C74" w:rsidR="2F6FA097" w:rsidRDefault="2F6FA097" w:rsidP="2F6FA097">
            <w:pPr>
              <w:spacing w:after="0"/>
            </w:pPr>
            <w:r>
              <w:t>Avoid azoles</w:t>
            </w:r>
          </w:p>
        </w:tc>
      </w:tr>
    </w:tbl>
    <w:p w14:paraId="2FA9FD00" w14:textId="7186BB46" w:rsidR="00164BEB" w:rsidRDefault="36C521DE" w:rsidP="2F6FA09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Adjuncts</w:t>
      </w:r>
      <w:r w:rsidRPr="2F6FA097">
        <w:rPr>
          <w:rFonts w:ascii="Aptos" w:eastAsia="Aptos" w:hAnsi="Aptos" w:cs="Aptos"/>
        </w:rPr>
        <w:t xml:space="preserve"> – </w:t>
      </w:r>
      <w:proofErr w:type="spellStart"/>
      <w:r w:rsidRPr="2F6FA097">
        <w:rPr>
          <w:rFonts w:ascii="Aptos" w:eastAsia="Aptos" w:hAnsi="Aptos" w:cs="Aptos"/>
        </w:rPr>
        <w:t>Isavuconazole</w:t>
      </w:r>
      <w:proofErr w:type="spellEnd"/>
      <w:r w:rsidRPr="2F6FA097">
        <w:rPr>
          <w:rFonts w:ascii="Aptos" w:eastAsia="Aptos" w:hAnsi="Aptos" w:cs="Aptos"/>
        </w:rPr>
        <w:t xml:space="preserve"> (emerging); short early steroids for ARDS‑type hypoxaemia. </w:t>
      </w:r>
    </w:p>
    <w:p w14:paraId="780211A1" w14:textId="2F3EA1BF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10. Primary prophylaxis</w:t>
      </w:r>
    </w:p>
    <w:p w14:paraId="4A2179EB" w14:textId="39C0F62F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>Itraconazole 200 mg d for HIV with CD4 &lt; 150 in high‑incidence regions until CD4 ≥ 150 × 6 </w:t>
      </w:r>
      <w:proofErr w:type="spellStart"/>
      <w:r w:rsidRPr="2F6FA097">
        <w:rPr>
          <w:rFonts w:ascii="Aptos" w:eastAsia="Aptos" w:hAnsi="Aptos" w:cs="Aptos"/>
        </w:rPr>
        <w:t>mo</w:t>
      </w:r>
      <w:proofErr w:type="spellEnd"/>
      <w:r w:rsidRPr="2F6FA097">
        <w:rPr>
          <w:rFonts w:ascii="Aptos" w:eastAsia="Aptos" w:hAnsi="Aptos" w:cs="Aptos"/>
        </w:rPr>
        <w:t xml:space="preserve"> on ART. </w:t>
      </w:r>
    </w:p>
    <w:p w14:paraId="65F9423C" w14:textId="42B559EC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lastRenderedPageBreak/>
        <w:t>11. Follow‑up &amp; monitoring</w:t>
      </w:r>
    </w:p>
    <w:p w14:paraId="0ECC7F59" w14:textId="2B386D74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 xml:space="preserve">Itraconazole trough ≥ 1 µg mL⁻¹; LFTs baseline → weeks 1, 2, 4 → 3‑monthly; urine/serum antigen monthly; CXR/CT q 4–6 mo. </w:t>
      </w:r>
    </w:p>
    <w:p w14:paraId="1585AB12" w14:textId="2E9DBB91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12. Complications &amp; prognosis</w:t>
      </w:r>
    </w:p>
    <w:p w14:paraId="0EC37DD1" w14:textId="5149219C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 xml:space="preserve">Cavitary destruction, mediastinal granuloma/fibrosis, adrenal insufficiency, chronic meningitis; untreated disseminated disease often fatal but outcomes excellent with timely therapy. </w:t>
      </w:r>
    </w:p>
    <w:p w14:paraId="4CA6C763" w14:textId="304E9EA0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13. Public‑health advice</w:t>
      </w:r>
    </w:p>
    <w:p w14:paraId="7A448284" w14:textId="3F9320EE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>Avoid bat/bird‑dropping exposure; respirators for high‑risk work; counsel immunosuppressed travellers.</w:t>
      </w:r>
    </w:p>
    <w:p w14:paraId="248BCBAB" w14:textId="74544E90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14. Key guideline signposts</w:t>
      </w:r>
    </w:p>
    <w:p w14:paraId="7526450F" w14:textId="0334D173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</w:rPr>
        <w:t xml:space="preserve">IDSA 2007; ECMM/ISHAM 2021; WHO 2020 fungal guidance. </w:t>
      </w:r>
    </w:p>
    <w:p w14:paraId="3236FE74" w14:textId="40153F00" w:rsidR="00164BEB" w:rsidRDefault="36C521DE" w:rsidP="2F6FA097">
      <w:pPr>
        <w:pStyle w:val="Heading4"/>
        <w:spacing w:before="319" w:after="319"/>
      </w:pPr>
      <w:r w:rsidRPr="2F6FA097">
        <w:rPr>
          <w:rFonts w:ascii="Aptos" w:eastAsia="Aptos" w:hAnsi="Aptos" w:cs="Aptos"/>
          <w:b/>
          <w:bCs/>
        </w:rPr>
        <w:t>15. Rapid‑recall regimen table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2955"/>
        <w:gridCol w:w="3630"/>
      </w:tblGrid>
      <w:tr w:rsidR="2F6FA097" w14:paraId="29D33887" w14:textId="77777777" w:rsidTr="2F6FA097">
        <w:trPr>
          <w:trHeight w:val="300"/>
        </w:trPr>
        <w:tc>
          <w:tcPr>
            <w:tcW w:w="3150" w:type="dxa"/>
            <w:vAlign w:val="center"/>
          </w:tcPr>
          <w:p w14:paraId="45AEED8C" w14:textId="71C8A528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Setting</w:t>
            </w:r>
          </w:p>
        </w:tc>
        <w:tc>
          <w:tcPr>
            <w:tcW w:w="2955" w:type="dxa"/>
            <w:vAlign w:val="center"/>
          </w:tcPr>
          <w:p w14:paraId="6581E41C" w14:textId="05A631E8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Induction</w:t>
            </w:r>
          </w:p>
        </w:tc>
        <w:tc>
          <w:tcPr>
            <w:tcW w:w="3630" w:type="dxa"/>
            <w:vAlign w:val="center"/>
          </w:tcPr>
          <w:p w14:paraId="13EA83D1" w14:textId="7F46E958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Maintenance</w:t>
            </w:r>
          </w:p>
        </w:tc>
      </w:tr>
      <w:tr w:rsidR="2F6FA097" w14:paraId="1FF1BFED" w14:textId="77777777" w:rsidTr="2F6FA097">
        <w:trPr>
          <w:trHeight w:val="300"/>
        </w:trPr>
        <w:tc>
          <w:tcPr>
            <w:tcW w:w="3150" w:type="dxa"/>
            <w:vAlign w:val="center"/>
          </w:tcPr>
          <w:p w14:paraId="631455A5" w14:textId="0CAC3469" w:rsidR="2F6FA097" w:rsidRDefault="2F6FA097" w:rsidP="2F6FA097">
            <w:pPr>
              <w:spacing w:after="0"/>
            </w:pPr>
            <w:r>
              <w:t>Severe/disseminated</w:t>
            </w:r>
          </w:p>
        </w:tc>
        <w:tc>
          <w:tcPr>
            <w:tcW w:w="2955" w:type="dxa"/>
            <w:vAlign w:val="center"/>
          </w:tcPr>
          <w:p w14:paraId="353FC0B2" w14:textId="7B5F9730" w:rsidR="2F6FA097" w:rsidRDefault="2F6FA097" w:rsidP="2F6FA097">
            <w:pPr>
              <w:spacing w:after="0"/>
            </w:pPr>
            <w:r>
              <w:t>L‑</w:t>
            </w:r>
            <w:proofErr w:type="spellStart"/>
            <w:r>
              <w:t>AmB</w:t>
            </w:r>
            <w:proofErr w:type="spellEnd"/>
            <w:r>
              <w:t xml:space="preserve"> 1–2 </w:t>
            </w:r>
            <w:proofErr w:type="spellStart"/>
            <w:r>
              <w:t>wks</w:t>
            </w:r>
            <w:proofErr w:type="spellEnd"/>
          </w:p>
        </w:tc>
        <w:tc>
          <w:tcPr>
            <w:tcW w:w="3630" w:type="dxa"/>
            <w:vAlign w:val="center"/>
          </w:tcPr>
          <w:p w14:paraId="41CEBF0F" w14:textId="5EF89BE3" w:rsidR="2F6FA097" w:rsidRDefault="2F6FA097" w:rsidP="2F6FA097">
            <w:pPr>
              <w:spacing w:after="0"/>
            </w:pPr>
            <w:r>
              <w:t>Itraconazole ≥ 12 </w:t>
            </w:r>
            <w:proofErr w:type="spellStart"/>
            <w:r>
              <w:t>mo</w:t>
            </w:r>
            <w:proofErr w:type="spellEnd"/>
          </w:p>
        </w:tc>
      </w:tr>
      <w:tr w:rsidR="2F6FA097" w14:paraId="21207D2E" w14:textId="77777777" w:rsidTr="2F6FA097">
        <w:trPr>
          <w:trHeight w:val="300"/>
        </w:trPr>
        <w:tc>
          <w:tcPr>
            <w:tcW w:w="3150" w:type="dxa"/>
            <w:vAlign w:val="center"/>
          </w:tcPr>
          <w:p w14:paraId="0A9AC2A8" w14:textId="452F1750" w:rsidR="2F6FA097" w:rsidRDefault="2F6FA097" w:rsidP="2F6FA097">
            <w:pPr>
              <w:spacing w:after="0"/>
            </w:pPr>
            <w:r>
              <w:t>CNS disease</w:t>
            </w:r>
          </w:p>
        </w:tc>
        <w:tc>
          <w:tcPr>
            <w:tcW w:w="2955" w:type="dxa"/>
            <w:vAlign w:val="center"/>
          </w:tcPr>
          <w:p w14:paraId="752EF172" w14:textId="4D89FCEE" w:rsidR="2F6FA097" w:rsidRDefault="2F6FA097" w:rsidP="2F6FA097">
            <w:pPr>
              <w:spacing w:after="0"/>
            </w:pPr>
            <w:r>
              <w:t>L‑</w:t>
            </w:r>
            <w:proofErr w:type="spellStart"/>
            <w:r>
              <w:t>AmB</w:t>
            </w:r>
            <w:proofErr w:type="spellEnd"/>
            <w:r>
              <w:t xml:space="preserve"> 4–6 </w:t>
            </w:r>
            <w:proofErr w:type="spellStart"/>
            <w:r>
              <w:t>wks</w:t>
            </w:r>
            <w:proofErr w:type="spellEnd"/>
          </w:p>
        </w:tc>
        <w:tc>
          <w:tcPr>
            <w:tcW w:w="3630" w:type="dxa"/>
            <w:vAlign w:val="center"/>
          </w:tcPr>
          <w:p w14:paraId="1790F8DD" w14:textId="7FBC3763" w:rsidR="2F6FA097" w:rsidRDefault="2F6FA097" w:rsidP="2F6FA097">
            <w:pPr>
              <w:spacing w:after="0"/>
            </w:pPr>
            <w:r>
              <w:t>Itraconazole ≥ 12 </w:t>
            </w:r>
            <w:proofErr w:type="spellStart"/>
            <w:r>
              <w:t>mo</w:t>
            </w:r>
            <w:proofErr w:type="spellEnd"/>
          </w:p>
        </w:tc>
      </w:tr>
      <w:tr w:rsidR="2F6FA097" w14:paraId="0C111766" w14:textId="77777777" w:rsidTr="2F6FA097">
        <w:trPr>
          <w:trHeight w:val="300"/>
        </w:trPr>
        <w:tc>
          <w:tcPr>
            <w:tcW w:w="3150" w:type="dxa"/>
            <w:vAlign w:val="center"/>
          </w:tcPr>
          <w:p w14:paraId="23E7F060" w14:textId="351783E5" w:rsidR="2F6FA097" w:rsidRDefault="2F6FA097" w:rsidP="2F6FA097">
            <w:pPr>
              <w:spacing w:after="0"/>
            </w:pPr>
            <w:r>
              <w:t>Mild–moderate pulmonary</w:t>
            </w:r>
          </w:p>
        </w:tc>
        <w:tc>
          <w:tcPr>
            <w:tcW w:w="2955" w:type="dxa"/>
            <w:vAlign w:val="center"/>
          </w:tcPr>
          <w:p w14:paraId="275EB0FD" w14:textId="191E2B8F" w:rsidR="2F6FA097" w:rsidRDefault="2F6FA097" w:rsidP="2F6FA097">
            <w:pPr>
              <w:spacing w:after="0"/>
            </w:pPr>
            <w:r>
              <w:t>—</w:t>
            </w:r>
          </w:p>
        </w:tc>
        <w:tc>
          <w:tcPr>
            <w:tcW w:w="3630" w:type="dxa"/>
            <w:vAlign w:val="center"/>
          </w:tcPr>
          <w:p w14:paraId="20CCD0B3" w14:textId="7D2D233C" w:rsidR="2F6FA097" w:rsidRDefault="2F6FA097" w:rsidP="2F6FA097">
            <w:pPr>
              <w:spacing w:after="0"/>
            </w:pPr>
            <w:r>
              <w:t>Itraconazole 6–12 </w:t>
            </w:r>
            <w:proofErr w:type="spellStart"/>
            <w:r>
              <w:t>wks</w:t>
            </w:r>
            <w:proofErr w:type="spellEnd"/>
          </w:p>
        </w:tc>
      </w:tr>
      <w:tr w:rsidR="2F6FA097" w14:paraId="7E3701A6" w14:textId="77777777" w:rsidTr="2F6FA097">
        <w:trPr>
          <w:trHeight w:val="300"/>
        </w:trPr>
        <w:tc>
          <w:tcPr>
            <w:tcW w:w="3150" w:type="dxa"/>
            <w:vAlign w:val="center"/>
          </w:tcPr>
          <w:p w14:paraId="68C6BD19" w14:textId="4C32FC1E" w:rsidR="2F6FA097" w:rsidRDefault="2F6FA097" w:rsidP="2F6FA097">
            <w:pPr>
              <w:spacing w:after="0"/>
            </w:pPr>
            <w:r>
              <w:t>Pregnancy</w:t>
            </w:r>
          </w:p>
        </w:tc>
        <w:tc>
          <w:tcPr>
            <w:tcW w:w="2955" w:type="dxa"/>
            <w:vAlign w:val="center"/>
          </w:tcPr>
          <w:p w14:paraId="5AD13566" w14:textId="5F2D1FEF" w:rsidR="2F6FA097" w:rsidRDefault="2F6FA097" w:rsidP="2F6FA097">
            <w:pPr>
              <w:spacing w:after="0"/>
            </w:pPr>
            <w:r>
              <w:t>Amphotericin B</w:t>
            </w:r>
          </w:p>
        </w:tc>
        <w:tc>
          <w:tcPr>
            <w:tcW w:w="3630" w:type="dxa"/>
            <w:vAlign w:val="center"/>
          </w:tcPr>
          <w:p w14:paraId="6C9D3497" w14:textId="68678F99" w:rsidR="2F6FA097" w:rsidRDefault="2F6FA097" w:rsidP="2F6FA097">
            <w:pPr>
              <w:spacing w:after="0"/>
            </w:pPr>
            <w:r>
              <w:t>—</w:t>
            </w:r>
          </w:p>
        </w:tc>
      </w:tr>
    </w:tbl>
    <w:p w14:paraId="3A68E320" w14:textId="12BDDC7A" w:rsidR="00164BEB" w:rsidRDefault="36C521DE" w:rsidP="2F6FA097">
      <w:pPr>
        <w:spacing w:before="240" w:after="240"/>
      </w:pPr>
      <w:r w:rsidRPr="2F6FA097">
        <w:rPr>
          <w:rFonts w:ascii="Aptos" w:eastAsia="Aptos" w:hAnsi="Aptos" w:cs="Aptos"/>
          <w:b/>
          <w:bCs/>
        </w:rPr>
        <w:t>Exam tip:</w:t>
      </w:r>
      <w:r w:rsidRPr="2F6FA097">
        <w:rPr>
          <w:rFonts w:ascii="Aptos" w:eastAsia="Aptos" w:hAnsi="Aptos" w:cs="Aptos"/>
        </w:rPr>
        <w:t xml:space="preserve"> Keep the new complication list (Section 6) at your fingertips—you can score easy marks by naming pleural effusion, pericarditis, arthritis, erythema nodosum/multiforme, and CNS meningitis when asked for “presentations of histoplasmosis.”</w:t>
      </w:r>
    </w:p>
    <w:p w14:paraId="2B3C6566" w14:textId="0835BF90" w:rsidR="00164BEB" w:rsidRDefault="00000000" w:rsidP="2F6FA097">
      <w:pPr>
        <w:jc w:val="center"/>
      </w:pPr>
      <w:r>
        <w:br w:type="page"/>
      </w:r>
      <w:r w:rsidR="5524A38E">
        <w:rPr>
          <w:noProof/>
        </w:rPr>
        <w:lastRenderedPageBreak/>
        <w:drawing>
          <wp:inline distT="0" distB="0" distL="0" distR="0" wp14:anchorId="2F5A062B" wp14:editId="6A3DCD17">
            <wp:extent cx="4514850" cy="3371850"/>
            <wp:effectExtent l="0" t="0" r="0" b="0"/>
            <wp:docPr id="1250766713" name="drawing" descr="Methenamine silver stain photomicrograph of the histopathologic chan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67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3E7" w14:textId="5664F80C" w:rsidR="00164BEB" w:rsidRDefault="5524A38E" w:rsidP="2F6FA097">
      <w:pPr>
        <w:pStyle w:val="Heading3"/>
        <w:spacing w:before="281" w:after="281"/>
      </w:pPr>
      <w:r w:rsidRPr="2F6FA097">
        <w:rPr>
          <w:rFonts w:ascii="Aptos" w:eastAsia="Aptos" w:hAnsi="Aptos" w:cs="Aptos"/>
          <w:b/>
          <w:bCs/>
        </w:rPr>
        <w:t xml:space="preserve">Histopathological findings in </w:t>
      </w:r>
      <w:r w:rsidRPr="2F6FA097">
        <w:rPr>
          <w:rFonts w:ascii="Aptos" w:eastAsia="Aptos" w:hAnsi="Aptos" w:cs="Aptos"/>
          <w:b/>
          <w:bCs/>
          <w:i/>
          <w:iCs/>
        </w:rPr>
        <w:t>Histoplasma capsulatum</w:t>
      </w:r>
      <w:r w:rsidRPr="2F6FA097">
        <w:rPr>
          <w:rFonts w:ascii="Aptos" w:eastAsia="Aptos" w:hAnsi="Aptos" w:cs="Aptos"/>
          <w:b/>
          <w:bCs/>
        </w:rPr>
        <w:t xml:space="preserve"> infection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7167"/>
        <w:gridCol w:w="513"/>
      </w:tblGrid>
      <w:tr w:rsidR="2F6FA097" w14:paraId="7B7F9E21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5DB19A35" w14:textId="64B4228C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Key feature</w:t>
            </w:r>
          </w:p>
        </w:tc>
        <w:tc>
          <w:tcPr>
            <w:tcW w:w="7167" w:type="dxa"/>
            <w:vAlign w:val="center"/>
          </w:tcPr>
          <w:p w14:paraId="1DF33E36" w14:textId="3E52BE41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Exam‑ready details</w:t>
            </w:r>
          </w:p>
        </w:tc>
        <w:tc>
          <w:tcPr>
            <w:tcW w:w="513" w:type="dxa"/>
            <w:vAlign w:val="center"/>
          </w:tcPr>
          <w:p w14:paraId="01B4A5B2" w14:textId="313ED1DB" w:rsidR="2F6FA097" w:rsidRDefault="2F6FA097" w:rsidP="2F6FA097">
            <w:pPr>
              <w:spacing w:after="0"/>
              <w:jc w:val="center"/>
            </w:pPr>
            <w:r w:rsidRPr="2F6FA097">
              <w:rPr>
                <w:b/>
                <w:bCs/>
              </w:rPr>
              <w:t>Evidence</w:t>
            </w:r>
          </w:p>
        </w:tc>
      </w:tr>
      <w:tr w:rsidR="2F6FA097" w14:paraId="5A5243EE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1DC1CED9" w14:textId="4EA70BF5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Specimen choice</w:t>
            </w:r>
          </w:p>
        </w:tc>
        <w:tc>
          <w:tcPr>
            <w:tcW w:w="7167" w:type="dxa"/>
            <w:vAlign w:val="center"/>
          </w:tcPr>
          <w:p w14:paraId="105FDEED" w14:textId="43ACF176" w:rsidR="2F6FA097" w:rsidRDefault="2F6FA097" w:rsidP="2F6FA097">
            <w:pPr>
              <w:spacing w:after="0"/>
            </w:pPr>
            <w:r>
              <w:t xml:space="preserve">Always obtain tissue when </w:t>
            </w:r>
            <w:proofErr w:type="gramStart"/>
            <w:r>
              <w:t>possible</w:t>
            </w:r>
            <w:proofErr w:type="gramEnd"/>
            <w:r>
              <w:t xml:space="preserve"> for rapid microscopy </w:t>
            </w:r>
            <w:r w:rsidRPr="2F6FA097">
              <w:rPr>
                <w:b/>
                <w:bCs/>
              </w:rPr>
              <w:t>and</w:t>
            </w:r>
            <w:r>
              <w:t xml:space="preserve"> culture.</w:t>
            </w:r>
          </w:p>
        </w:tc>
        <w:tc>
          <w:tcPr>
            <w:tcW w:w="513" w:type="dxa"/>
            <w:vAlign w:val="center"/>
          </w:tcPr>
          <w:p w14:paraId="54A22FF8" w14:textId="60BAC0D2" w:rsidR="2F6FA097" w:rsidRDefault="2F6FA097"/>
        </w:tc>
      </w:tr>
      <w:tr w:rsidR="2F6FA097" w14:paraId="03CCBE46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08300CB2" w14:textId="38479E5B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Special stains</w:t>
            </w:r>
          </w:p>
        </w:tc>
        <w:tc>
          <w:tcPr>
            <w:tcW w:w="7167" w:type="dxa"/>
            <w:vAlign w:val="center"/>
          </w:tcPr>
          <w:p w14:paraId="4412F6BF" w14:textId="17B0C759" w:rsidR="2F6FA097" w:rsidRDefault="2F6FA097" w:rsidP="2F6FA097">
            <w:pPr>
              <w:spacing w:after="0"/>
            </w:pPr>
            <w:r>
              <w:t>• Periodic acid‑Schiff (PAS) • Grocott methenamine‑silver (GMS)</w:t>
            </w:r>
          </w:p>
        </w:tc>
        <w:tc>
          <w:tcPr>
            <w:tcW w:w="513" w:type="dxa"/>
            <w:vAlign w:val="center"/>
          </w:tcPr>
          <w:p w14:paraId="7F29F5DD" w14:textId="1EA64087" w:rsidR="2F6FA097" w:rsidRDefault="2F6FA097"/>
        </w:tc>
      </w:tr>
      <w:tr w:rsidR="2F6FA097" w14:paraId="3BE3DFC5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4CCF98B3" w14:textId="71493F0B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Yeast morphology</w:t>
            </w:r>
          </w:p>
        </w:tc>
        <w:tc>
          <w:tcPr>
            <w:tcW w:w="7167" w:type="dxa"/>
            <w:vAlign w:val="center"/>
          </w:tcPr>
          <w:p w14:paraId="1F49FE72" w14:textId="033B770A" w:rsidR="2F6FA097" w:rsidRDefault="2F6FA097" w:rsidP="2F6FA097">
            <w:pPr>
              <w:spacing w:after="0"/>
            </w:pPr>
            <w:r>
              <w:t xml:space="preserve">Small, oval, narrow‑based budding yeasts </w:t>
            </w:r>
            <w:r w:rsidRPr="2F6FA097">
              <w:rPr>
                <w:b/>
                <w:bCs/>
              </w:rPr>
              <w:t>2‑4 µm</w:t>
            </w:r>
            <w:r>
              <w:t xml:space="preserve">; typically cluster </w:t>
            </w:r>
            <w:r w:rsidRPr="2F6FA097">
              <w:rPr>
                <w:b/>
                <w:bCs/>
              </w:rPr>
              <w:t>intracellularly within macrophages/giant cells</w:t>
            </w:r>
            <w:r>
              <w:t xml:space="preserve"> (“halo” on H&amp;E due to shrinkage artefact).</w:t>
            </w:r>
          </w:p>
        </w:tc>
        <w:tc>
          <w:tcPr>
            <w:tcW w:w="513" w:type="dxa"/>
            <w:vAlign w:val="center"/>
          </w:tcPr>
          <w:p w14:paraId="5BBB3440" w14:textId="79B05D5D" w:rsidR="2F6FA097" w:rsidRDefault="2F6FA097"/>
        </w:tc>
      </w:tr>
      <w:tr w:rsidR="2F6FA097" w14:paraId="52EEFDD5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12637F42" w14:textId="3ECF13C1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Tissue reaction</w:t>
            </w:r>
          </w:p>
        </w:tc>
        <w:tc>
          <w:tcPr>
            <w:tcW w:w="7167" w:type="dxa"/>
            <w:vAlign w:val="center"/>
          </w:tcPr>
          <w:p w14:paraId="3EC15478" w14:textId="3ADED93A" w:rsidR="2F6FA097" w:rsidRDefault="2F6FA097" w:rsidP="2F6FA097">
            <w:pPr>
              <w:spacing w:after="0"/>
            </w:pPr>
            <w:r>
              <w:t xml:space="preserve">Necrotising or non‑necrotising </w:t>
            </w:r>
            <w:r w:rsidRPr="2F6FA097">
              <w:rPr>
                <w:b/>
                <w:bCs/>
              </w:rPr>
              <w:t>granulomas</w:t>
            </w:r>
            <w:r>
              <w:t>; may progress to fibro‑caseous nodules or fibrosing mediastinitis.</w:t>
            </w:r>
          </w:p>
        </w:tc>
        <w:tc>
          <w:tcPr>
            <w:tcW w:w="513" w:type="dxa"/>
            <w:vAlign w:val="center"/>
          </w:tcPr>
          <w:p w14:paraId="5A9DF611" w14:textId="2F0D2A23" w:rsidR="2F6FA097" w:rsidRDefault="2F6FA097"/>
        </w:tc>
      </w:tr>
      <w:tr w:rsidR="2F6FA097" w14:paraId="6A2BC706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16EAFED8" w14:textId="15AD14EA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Diagnostic yield</w:t>
            </w:r>
          </w:p>
        </w:tc>
        <w:tc>
          <w:tcPr>
            <w:tcW w:w="7167" w:type="dxa"/>
            <w:vAlign w:val="center"/>
          </w:tcPr>
          <w:p w14:paraId="11BFE75B" w14:textId="03CC4664" w:rsidR="2F6FA097" w:rsidRDefault="2F6FA097" w:rsidP="2F6FA097">
            <w:pPr>
              <w:spacing w:after="0"/>
            </w:pPr>
            <w:r>
              <w:t>Histology gives an immediate answer, but sensitivity falls with low fungal burden or heavy immunosuppression.</w:t>
            </w:r>
          </w:p>
        </w:tc>
        <w:tc>
          <w:tcPr>
            <w:tcW w:w="513" w:type="dxa"/>
            <w:vAlign w:val="center"/>
          </w:tcPr>
          <w:p w14:paraId="22D4706B" w14:textId="1811CB37" w:rsidR="2F6FA097" w:rsidRDefault="2F6FA097"/>
        </w:tc>
      </w:tr>
      <w:tr w:rsidR="2F6FA097" w14:paraId="03D64577" w14:textId="77777777" w:rsidTr="2F6FA097">
        <w:trPr>
          <w:trHeight w:val="300"/>
        </w:trPr>
        <w:tc>
          <w:tcPr>
            <w:tcW w:w="2775" w:type="dxa"/>
            <w:vAlign w:val="center"/>
          </w:tcPr>
          <w:p w14:paraId="012EADEE" w14:textId="4188C9A4" w:rsidR="2F6FA097" w:rsidRDefault="2F6FA097" w:rsidP="2F6FA097">
            <w:pPr>
              <w:spacing w:after="0"/>
            </w:pPr>
            <w:r w:rsidRPr="2F6FA097">
              <w:rPr>
                <w:b/>
                <w:bCs/>
              </w:rPr>
              <w:t>Disseminated disease clues</w:t>
            </w:r>
          </w:p>
        </w:tc>
        <w:tc>
          <w:tcPr>
            <w:tcW w:w="7167" w:type="dxa"/>
            <w:vAlign w:val="center"/>
          </w:tcPr>
          <w:p w14:paraId="0B1FECB9" w14:textId="746910D0" w:rsidR="2F6FA097" w:rsidRDefault="2F6FA097" w:rsidP="2F6FA097">
            <w:pPr>
              <w:spacing w:after="0"/>
            </w:pPr>
            <w:r>
              <w:t>Bone‑marrow trephine/aspirate often packed with yeasts; especially useful in AIDS or other severe immunosuppression.</w:t>
            </w:r>
          </w:p>
        </w:tc>
        <w:tc>
          <w:tcPr>
            <w:tcW w:w="513" w:type="dxa"/>
            <w:vAlign w:val="center"/>
          </w:tcPr>
          <w:p w14:paraId="33D314E7" w14:textId="2D321AED" w:rsidR="2F6FA097" w:rsidRDefault="2F6FA097"/>
        </w:tc>
      </w:tr>
    </w:tbl>
    <w:p w14:paraId="5777AF91" w14:textId="6BE69465" w:rsidR="00164BEB" w:rsidRDefault="5524A38E" w:rsidP="2F6FA097">
      <w:pPr>
        <w:spacing w:before="240" w:after="240"/>
      </w:pPr>
      <w:r w:rsidRPr="2F6FA097">
        <w:rPr>
          <w:rFonts w:ascii="Aptos" w:eastAsia="Aptos" w:hAnsi="Aptos" w:cs="Aptos"/>
          <w:b/>
          <w:bCs/>
        </w:rPr>
        <w:t>How to use this in viva/OSPE</w:t>
      </w:r>
    </w:p>
    <w:p w14:paraId="048DB511" w14:textId="1F8E61E5" w:rsidR="00164BEB" w:rsidRDefault="5524A38E" w:rsidP="2F6FA0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Quote the size &amp; location first</w:t>
      </w:r>
      <w:r w:rsidRPr="2F6FA097">
        <w:rPr>
          <w:rFonts w:ascii="Aptos" w:eastAsia="Aptos" w:hAnsi="Aptos" w:cs="Aptos"/>
        </w:rPr>
        <w:t xml:space="preserve"> (“2–4 µm intracellular yeasts on GMS”); examiners expect that figure.</w:t>
      </w:r>
    </w:p>
    <w:p w14:paraId="356781A7" w14:textId="1779DF15" w:rsidR="00164BEB" w:rsidRDefault="5524A38E" w:rsidP="2F6FA0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Name at least two stains</w:t>
      </w:r>
      <w:r w:rsidRPr="2F6FA097">
        <w:rPr>
          <w:rFonts w:ascii="Aptos" w:eastAsia="Aptos" w:hAnsi="Aptos" w:cs="Aptos"/>
        </w:rPr>
        <w:t xml:space="preserve"> (PAS &amp; GMS) and why they help (highlight cell wall).</w:t>
      </w:r>
    </w:p>
    <w:p w14:paraId="2B9F531A" w14:textId="59D89E3C" w:rsidR="00164BEB" w:rsidRDefault="5524A38E" w:rsidP="2F6FA0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Describe the host response</w:t>
      </w:r>
      <w:r w:rsidRPr="2F6FA097">
        <w:rPr>
          <w:rFonts w:ascii="Aptos" w:eastAsia="Aptos" w:hAnsi="Aptos" w:cs="Aptos"/>
        </w:rPr>
        <w:t xml:space="preserve"> (granulomatous ± caseation).</w:t>
      </w:r>
    </w:p>
    <w:p w14:paraId="197CD942" w14:textId="792544B1" w:rsidR="00164BEB" w:rsidRDefault="5524A38E" w:rsidP="2F6FA0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t>Link histology to clinical setting</w:t>
      </w:r>
      <w:r w:rsidRPr="2F6FA097">
        <w:rPr>
          <w:rFonts w:ascii="Aptos" w:eastAsia="Aptos" w:hAnsi="Aptos" w:cs="Aptos"/>
        </w:rPr>
        <w:t xml:space="preserve"> – low organism load in acute pulmonary disease, heavy load in bone marrow of disseminated HIV cases.</w:t>
      </w:r>
    </w:p>
    <w:p w14:paraId="3423BD8E" w14:textId="79E8BA5E" w:rsidR="00164BEB" w:rsidRDefault="5524A38E" w:rsidP="2F6FA0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6FA097">
        <w:rPr>
          <w:rFonts w:ascii="Aptos" w:eastAsia="Aptos" w:hAnsi="Aptos" w:cs="Aptos"/>
          <w:b/>
          <w:bCs/>
        </w:rPr>
        <w:lastRenderedPageBreak/>
        <w:t>Remember pitfalls</w:t>
      </w:r>
      <w:r w:rsidRPr="2F6FA097">
        <w:rPr>
          <w:rFonts w:ascii="Aptos" w:eastAsia="Aptos" w:hAnsi="Aptos" w:cs="Aptos"/>
        </w:rPr>
        <w:t xml:space="preserve"> – scant organisms may be missed on H&amp;E; biopsy sensitivity varies with immunocompetence.</w:t>
      </w:r>
    </w:p>
    <w:p w14:paraId="7AE182F2" w14:textId="4331030F" w:rsidR="00164BEB" w:rsidRDefault="5524A38E" w:rsidP="2F6FA097">
      <w:pPr>
        <w:spacing w:before="240" w:after="240"/>
      </w:pPr>
      <w:r w:rsidRPr="2F6FA097">
        <w:rPr>
          <w:rFonts w:ascii="Aptos" w:eastAsia="Aptos" w:hAnsi="Aptos" w:cs="Aptos"/>
          <w:i/>
          <w:iCs/>
        </w:rPr>
        <w:t>(Images above illustrate classic intracellular yeasts on GMS, PAS and H&amp;E, plus a composite bone‑marrow panel to reinforce these points.)</w:t>
      </w:r>
    </w:p>
    <w:p w14:paraId="19E2B951" w14:textId="6DD3B997" w:rsidR="00164BEB" w:rsidRDefault="53AE9B7A" w:rsidP="2F6FA097">
      <w:pPr>
        <w:spacing w:before="240" w:after="240"/>
        <w:rPr>
          <w:rFonts w:ascii="Aptos" w:eastAsia="Aptos" w:hAnsi="Aptos" w:cs="Aptos"/>
          <w:i/>
          <w:iCs/>
        </w:rPr>
      </w:pPr>
      <w:r w:rsidRPr="2F6FA097">
        <w:rPr>
          <w:rFonts w:ascii="Aptos" w:eastAsia="Aptos" w:hAnsi="Aptos" w:cs="Aptos"/>
          <w:i/>
          <w:iCs/>
        </w:rPr>
        <w:t>------------</w:t>
      </w:r>
    </w:p>
    <w:p w14:paraId="59A11ACD" w14:textId="30A2FC70" w:rsidR="00164BEB" w:rsidRDefault="00164BEB" w:rsidP="2F6FA097">
      <w:pPr>
        <w:spacing w:before="240" w:after="240"/>
        <w:rPr>
          <w:rFonts w:ascii="Aptos" w:eastAsia="Aptos" w:hAnsi="Aptos" w:cs="Aptos"/>
          <w:i/>
          <w:iCs/>
        </w:rPr>
      </w:pPr>
    </w:p>
    <w:p w14:paraId="5E5787A5" w14:textId="524316B7" w:rsidR="00164BEB" w:rsidRDefault="00164BEB"/>
    <w:sectPr w:rsidR="00164BE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A3A"/>
    <w:multiLevelType w:val="hybridMultilevel"/>
    <w:tmpl w:val="DE0867FE"/>
    <w:lvl w:ilvl="0" w:tplc="171E3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3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42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C6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49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62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A0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2F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1817"/>
    <w:multiLevelType w:val="hybridMultilevel"/>
    <w:tmpl w:val="15887E0E"/>
    <w:lvl w:ilvl="0" w:tplc="69AC66C8">
      <w:start w:val="1"/>
      <w:numFmt w:val="decimal"/>
      <w:lvlText w:val="%1."/>
      <w:lvlJc w:val="left"/>
      <w:pPr>
        <w:ind w:left="720" w:hanging="360"/>
      </w:pPr>
    </w:lvl>
    <w:lvl w:ilvl="1" w:tplc="77AA2FB0">
      <w:start w:val="1"/>
      <w:numFmt w:val="lowerLetter"/>
      <w:lvlText w:val="%2."/>
      <w:lvlJc w:val="left"/>
      <w:pPr>
        <w:ind w:left="1440" w:hanging="360"/>
      </w:pPr>
    </w:lvl>
    <w:lvl w:ilvl="2" w:tplc="CA64FB84">
      <w:start w:val="1"/>
      <w:numFmt w:val="lowerRoman"/>
      <w:lvlText w:val="%3."/>
      <w:lvlJc w:val="right"/>
      <w:pPr>
        <w:ind w:left="2160" w:hanging="180"/>
      </w:pPr>
    </w:lvl>
    <w:lvl w:ilvl="3" w:tplc="84E02546">
      <w:start w:val="1"/>
      <w:numFmt w:val="decimal"/>
      <w:lvlText w:val="%4."/>
      <w:lvlJc w:val="left"/>
      <w:pPr>
        <w:ind w:left="2880" w:hanging="360"/>
      </w:pPr>
    </w:lvl>
    <w:lvl w:ilvl="4" w:tplc="33746056">
      <w:start w:val="1"/>
      <w:numFmt w:val="lowerLetter"/>
      <w:lvlText w:val="%5."/>
      <w:lvlJc w:val="left"/>
      <w:pPr>
        <w:ind w:left="3600" w:hanging="360"/>
      </w:pPr>
    </w:lvl>
    <w:lvl w:ilvl="5" w:tplc="4F746C70">
      <w:start w:val="1"/>
      <w:numFmt w:val="lowerRoman"/>
      <w:lvlText w:val="%6."/>
      <w:lvlJc w:val="right"/>
      <w:pPr>
        <w:ind w:left="4320" w:hanging="180"/>
      </w:pPr>
    </w:lvl>
    <w:lvl w:ilvl="6" w:tplc="A01A8E5E">
      <w:start w:val="1"/>
      <w:numFmt w:val="decimal"/>
      <w:lvlText w:val="%7."/>
      <w:lvlJc w:val="left"/>
      <w:pPr>
        <w:ind w:left="5040" w:hanging="360"/>
      </w:pPr>
    </w:lvl>
    <w:lvl w:ilvl="7" w:tplc="3BD0FC84">
      <w:start w:val="1"/>
      <w:numFmt w:val="lowerLetter"/>
      <w:lvlText w:val="%8."/>
      <w:lvlJc w:val="left"/>
      <w:pPr>
        <w:ind w:left="5760" w:hanging="360"/>
      </w:pPr>
    </w:lvl>
    <w:lvl w:ilvl="8" w:tplc="0BC862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D14E"/>
    <w:multiLevelType w:val="hybridMultilevel"/>
    <w:tmpl w:val="8B8E2F58"/>
    <w:lvl w:ilvl="0" w:tplc="C520D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47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8D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8C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0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A1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4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0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B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BD43"/>
    <w:multiLevelType w:val="hybridMultilevel"/>
    <w:tmpl w:val="AF6A23EE"/>
    <w:lvl w:ilvl="0" w:tplc="A3183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21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0A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62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42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AE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63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0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41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09EC"/>
    <w:multiLevelType w:val="hybridMultilevel"/>
    <w:tmpl w:val="94C82A7A"/>
    <w:lvl w:ilvl="0" w:tplc="F6C20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0E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C1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00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CD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EA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C1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69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A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2424"/>
    <w:multiLevelType w:val="hybridMultilevel"/>
    <w:tmpl w:val="9FF28D56"/>
    <w:lvl w:ilvl="0" w:tplc="B48C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4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8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CD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E6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0C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6C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03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4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211F"/>
    <w:multiLevelType w:val="hybridMultilevel"/>
    <w:tmpl w:val="F96C615A"/>
    <w:lvl w:ilvl="0" w:tplc="58E01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D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07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49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E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A8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85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6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07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6D7F9"/>
    <w:multiLevelType w:val="hybridMultilevel"/>
    <w:tmpl w:val="F678EB58"/>
    <w:lvl w:ilvl="0" w:tplc="11765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A6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6B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6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06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2A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06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B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A7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5655">
    <w:abstractNumId w:val="0"/>
  </w:num>
  <w:num w:numId="2" w16cid:durableId="207618628">
    <w:abstractNumId w:val="7"/>
  </w:num>
  <w:num w:numId="3" w16cid:durableId="2145196681">
    <w:abstractNumId w:val="4"/>
  </w:num>
  <w:num w:numId="4" w16cid:durableId="1170677517">
    <w:abstractNumId w:val="2"/>
  </w:num>
  <w:num w:numId="5" w16cid:durableId="871528231">
    <w:abstractNumId w:val="3"/>
  </w:num>
  <w:num w:numId="6" w16cid:durableId="2098210674">
    <w:abstractNumId w:val="6"/>
  </w:num>
  <w:num w:numId="7" w16cid:durableId="600260263">
    <w:abstractNumId w:val="5"/>
  </w:num>
  <w:num w:numId="8" w16cid:durableId="178692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37EB6"/>
    <w:rsid w:val="00164BEB"/>
    <w:rsid w:val="009B2FA9"/>
    <w:rsid w:val="00EA41F3"/>
    <w:rsid w:val="0CCE978D"/>
    <w:rsid w:val="145B9FBC"/>
    <w:rsid w:val="2DF68EDA"/>
    <w:rsid w:val="2F6FA097"/>
    <w:rsid w:val="36C521DE"/>
    <w:rsid w:val="3A78A36A"/>
    <w:rsid w:val="413C1E80"/>
    <w:rsid w:val="53AE9B7A"/>
    <w:rsid w:val="53B12D56"/>
    <w:rsid w:val="5524A38E"/>
    <w:rsid w:val="5D4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EB6"/>
  <w15:chartTrackingRefBased/>
  <w15:docId w15:val="{E54D74B3-0ECE-47BE-92A7-8826329B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2F6FA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F6FA0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SNELL, Luke (KING'S COLLEGE HOSPITAL NHS FOUNDATION TRUST)</dc:creator>
  <cp:keywords/>
  <dc:description/>
  <cp:lastModifiedBy>SNELL, Luke (KING'S COLLEGE HOSPITAL NHS FOUNDATION TRUST)</cp:lastModifiedBy>
  <cp:revision>3</cp:revision>
  <dcterms:created xsi:type="dcterms:W3CDTF">2025-07-24T15:44:00Z</dcterms:created>
  <dcterms:modified xsi:type="dcterms:W3CDTF">2025-10-07T08:01:00Z</dcterms:modified>
</cp:coreProperties>
</file>