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3AED4C3" w:rsidP="1400960F" w:rsidRDefault="53AED4C3" w14:paraId="14D0FF88" w14:textId="08D68989">
      <w:pPr>
        <w:pStyle w:val="Heading1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</w:pPr>
      <w:r w:rsidRPr="1400960F" w:rsidR="53AED4C3">
        <w:rPr>
          <w:noProof w:val="0"/>
          <w:lang w:val="en-GB"/>
        </w:rPr>
        <w:t>References</w:t>
      </w:r>
    </w:p>
    <w:p w:rsidR="1400960F" w:rsidP="1400960F" w:rsidRDefault="1400960F" w14:paraId="2B9367C6" w14:textId="2A87C594">
      <w:p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</w:pPr>
    </w:p>
    <w:p w:rsidR="53AED4C3" w:rsidP="1400960F" w:rsidRDefault="53AED4C3" w14:paraId="12D07636" w14:textId="5C1359E5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Advisory Committee on Dangerous Pathogens &amp; Spongiform Encephalopathy Advisory Committee.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(1998).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Transmissible spongiform encephalopathy agents: Safe working and the prevention of infection (Report).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The Stationery Office. Retrieved from </w:t>
      </w:r>
      <w:hyperlink r:id="R1cbdd24973054785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https://assets.publishing.service.gov.uk/media/5a7c8378ed915d6969f45680/report.pdf</w:t>
        </w:r>
      </w:hyperlink>
    </w:p>
    <w:p w:rsidR="53AED4C3" w:rsidP="1400960F" w:rsidRDefault="53AED4C3" w14:paraId="700C68BD" w14:textId="2AB87722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American Academy of Pediatrics, Committee on Infectious Diseases.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(2018).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Red Book: 2018–2021. Report of the Committee on Infectious Diseases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(31st ed.). American Academy of Pediatrics.</w:t>
      </w:r>
    </w:p>
    <w:p w:rsidR="53AED4C3" w:rsidP="1400960F" w:rsidRDefault="53AED4C3" w14:paraId="4430523C" w14:textId="47344533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Bassetti, M., Azoulay, E., Kullberg, B. J., Ruhnke, M., Shoham, S., Vazquez, J., Giacobbe, D. R., &amp; Calandra, T.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(2021). EORTC/MSGERC definitions of invasive fungal diseases: Summary of activities of the Intensive Care Unit Working Group.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Clinical Infectious Diseases, 72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(Suppl 2), S121–S127. </w:t>
      </w:r>
      <w:hyperlink r:id="R603f29302fdb42b9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https://doi.org/10.1093/cid/ciaa1751</w:t>
        </w:r>
      </w:hyperlink>
    </w:p>
    <w:p w:rsidR="53AED4C3" w:rsidP="1400960F" w:rsidRDefault="53AED4C3" w14:paraId="02D0AD27" w14:textId="29EFBCB5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Bennett, J. E., Dolin, R., &amp; Blaser, M. J.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(2019).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Mandell, Douglas, and Bennett’s Principles and Practice of Infectious Diseases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(9th ed., Vols. 1–2). Elsevier.</w:t>
      </w:r>
    </w:p>
    <w:p w:rsidR="53AED4C3" w:rsidP="1400960F" w:rsidRDefault="53AED4C3" w14:paraId="6B5FC361" w14:textId="2707574C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British Society of Gastroenterology.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(2020).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BSG guidance on decontamination of equipment for gastrointestinal endoscopy (Report of a Working Party of the BSG Endoscopy Committee).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Retrieved October 7, 2025, from </w:t>
      </w:r>
      <w:hyperlink r:id="R61e44f09d9d24346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https://www.bsg.org.uk/clinical-resource/2020-guidance-on-decontamination-of-equipment</w:t>
        </w:r>
      </w:hyperlink>
    </w:p>
    <w:p w:rsidR="53AED4C3" w:rsidP="1400960F" w:rsidRDefault="53AED4C3" w14:paraId="5F42EA17" w14:textId="17D5DAD1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Centers for Disease Control and Prevention (CDC), &amp; Nemhauser, J. B.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(2023).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CDC Yellow Book 2024: Health Information for International Travel.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Oxford University Press. </w:t>
      </w:r>
      <w:hyperlink r:id="R84b3b51203904ad4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https://doi.org/10.1093/oso/9780197570944.001.0001</w:t>
        </w:r>
      </w:hyperlink>
    </w:p>
    <w:p w:rsidR="53AED4C3" w:rsidP="1400960F" w:rsidRDefault="53AED4C3" w14:paraId="17EE0CF9" w14:textId="7054C444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Clarke, E., Patel, R., Dickins, D., et al.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(2024). Joint BASHH and RCOG national UK guideline for the management of herpes simplex virus (HSV) in pregnancy and the neonate (2024 update).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International Journal of STD &amp; AIDS, 36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(1), 4–23. </w:t>
      </w:r>
      <w:hyperlink r:id="R738b6741086c4291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https://doi.org/10.1177/09564624241280734</w:t>
        </w:r>
      </w:hyperlink>
    </w:p>
    <w:p w:rsidR="53AED4C3" w:rsidP="1400960F" w:rsidRDefault="53AED4C3" w14:paraId="4F9B0860" w14:textId="069B69E7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Damani, N.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(2019).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Manual of Infection Prevention and Control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(4th ed.). Oxford University Press. </w:t>
      </w:r>
      <w:hyperlink r:id="R50aa8a39b64f4ff3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https://doi.org/10.1093/med/9780198815938.001.0001</w:t>
        </w:r>
      </w:hyperlink>
    </w:p>
    <w:p w:rsidR="53AED4C3" w:rsidP="1400960F" w:rsidRDefault="53AED4C3" w14:paraId="253375F6" w14:textId="086B5D58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Davidson, R., et al.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(2022).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Oxford Handbook of Tropical Medicine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(5th ed.). Oxford University Press. </w:t>
      </w:r>
      <w:hyperlink r:id="R3dc9093d6aa44c2e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https://doi.org/10.1093/med/9780198810858.001.0001</w:t>
        </w:r>
      </w:hyperlink>
    </w:p>
    <w:p w:rsidR="53AED4C3" w:rsidP="1400960F" w:rsidRDefault="53AED4C3" w14:paraId="6108170F" w14:textId="508871AC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Department of Health.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(2016).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Health Technical Memorandum 04-01: Safe water in healthcare premises. Part A: Design, installation and commissioning.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Crown.</w:t>
      </w:r>
    </w:p>
    <w:p w:rsidR="53AED4C3" w:rsidP="1400960F" w:rsidRDefault="53AED4C3" w14:paraId="540A6F16" w14:textId="3A4C110A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European Committee on Antimicrobial Susceptibility Testing (EUCAST).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(2025).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Breakpoint tables for interpretation of MICs and zone diameters, Version 15.0.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Retrieved from </w:t>
      </w:r>
      <w:hyperlink r:id="Rf869a023d39c49e1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https://www.eucast.org/fileadmin/src/media/PDFs/EUCAST_files/Breakpoint_tables/v_15.0_Breakpoint_Tables.pdf</w:t>
        </w:r>
      </w:hyperlink>
    </w:p>
    <w:p w:rsidR="53AED4C3" w:rsidP="1400960F" w:rsidRDefault="53AED4C3" w14:paraId="7EA2CFF4" w14:textId="28A53A31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Fifer, H., Ismail, M. A., Soni, S., et al.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(2025). British Association of Sexual Health and HIV UK National Guideline for the Management of infection with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Neisseria gonorrhoeae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, 2025.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International Journal of STD &amp; AIDS, 36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(11–12), 826–840. </w:t>
      </w:r>
      <w:hyperlink r:id="Rf35c96c333294c80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https://doi.org/10.1177/09564624251345195</w:t>
        </w:r>
      </w:hyperlink>
    </w:p>
    <w:p w:rsidR="53AED4C3" w:rsidP="1400960F" w:rsidRDefault="53AED4C3" w14:paraId="75F0C918" w14:textId="601A6BDA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Grayson, M. L., Cosgrove, S., Crowe, S., Hope, W., McCarthy, J., Mills, J., Mouton, J. W., &amp; Paterson, D.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(2017).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Kucers’ The Use of Antibiotics: A Clinical Review of Antibacterial, Antifungal, Antiparasitic, and Antiviral Drugs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(7th ed., 3 Vols.). CRC Press. </w:t>
      </w:r>
      <w:hyperlink r:id="R5e48279c5d594809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https://doi.org/10.1201/9781498747967</w:t>
        </w:r>
      </w:hyperlink>
    </w:p>
    <w:p w:rsidR="53AED4C3" w:rsidP="1400960F" w:rsidRDefault="53AED4C3" w14:paraId="388BB720" w14:textId="29D436E8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Jorgensen, J. H., Pfaller, M. A., Carroll, K. C., Funke, G., Landry, M. L., Richter, S. S., &amp; Warnock, D. W.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(2015).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Manual of Clinical Microbiology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(11th ed.). ASM Press.</w:t>
      </w:r>
    </w:p>
    <w:p w:rsidR="53AED4C3" w:rsidP="1400960F" w:rsidRDefault="53AED4C3" w14:paraId="7B1AD4AF" w14:textId="21ECEF70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Kibbler, C. C., et al.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(2018).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Oxford Textbook of Medical Mycology.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Oxford University Press. </w:t>
      </w:r>
      <w:hyperlink r:id="Rb87ecaf1846043b8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https://doi.org/10.1093/med/9780198755388.001.0001</w:t>
        </w:r>
      </w:hyperlink>
    </w:p>
    <w:p w:rsidR="53AED4C3" w:rsidP="1400960F" w:rsidRDefault="53AED4C3" w14:paraId="2290BE9B" w14:textId="2B62FA83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Kingston, M., Apea, V., Evans, C., Fifer, H., Foster, K., Patrick, P., Grant, A., Manns, V., Ramsden, S., Sinka, K., Sukthankar, A., Sullivan, A., &amp; Tyler, S.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(2024). BASHH UK guidelines for the management of syphilis 2024.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International Journal of STD &amp; AIDS, 35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(14), 1142–1160. </w:t>
      </w:r>
      <w:hyperlink r:id="R0432dcf4388f4dbe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https://doi.org/10.1177/09564624241280406</w:t>
        </w:r>
      </w:hyperlink>
    </w:p>
    <w:p w:rsidR="53AED4C3" w:rsidP="1400960F" w:rsidRDefault="53AED4C3" w14:paraId="1E2C07E3" w14:textId="7D68CA69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Kingston, M., Wilson, J., Dermont, S., Fifer, H., Chan, K., Lyall, H., McMaster, P., Shawkat, E., &amp; Thomas-Leech, A.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(2024). BASHH UK guidelines for the management of syphilis in pregnancy and children 2024.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International Journal of STD &amp; AIDS, 35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(14), 1161–1173. </w:t>
      </w:r>
      <w:hyperlink r:id="R86c0969b5c624f46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https://doi.org/10.1177/09564624241280387</w:t>
        </w:r>
      </w:hyperlink>
    </w:p>
    <w:p w:rsidR="53AED4C3" w:rsidP="1400960F" w:rsidRDefault="53AED4C3" w14:paraId="18242496" w14:textId="07D09B5F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Mitchell, L., et al.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(2019).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Oxford Handbook of Genitourinary Medicine, HIV, and Sexual Health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(3rd ed.). Oxford University Press. </w:t>
      </w:r>
      <w:hyperlink r:id="R4b15d35042034fda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https://doi.org/10.1093/med/9780198783497.001.0001</w:t>
        </w:r>
      </w:hyperlink>
    </w:p>
    <w:p w:rsidR="53AED4C3" w:rsidP="1400960F" w:rsidRDefault="53AED4C3" w14:paraId="3DC8F59C" w14:textId="537F0B62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Morris, G., Haddow, L., Sashidharan, P. N., et al.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(2025). BASHH National Guideline on the Management of Scabies in Adults 2025.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International Journal of STD &amp; AIDS, 36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(7), 516–532. </w:t>
      </w:r>
      <w:hyperlink r:id="R5d656de4a0cd4cc9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https://doi.org/10.1177/09564624251321264</w:t>
        </w:r>
      </w:hyperlink>
    </w:p>
    <w:p w:rsidR="53AED4C3" w:rsidP="1400960F" w:rsidRDefault="53AED4C3" w14:paraId="4464E395" w14:textId="7ED12DB4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National Institute for Health and Care Excellence (NICE).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(2018).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Lyme disease: NG95.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Published 11 April 2018; last updated 17 October 2018.</w:t>
      </w:r>
    </w:p>
    <w:p w:rsidR="53AED4C3" w:rsidP="1400960F" w:rsidRDefault="53AED4C3" w14:paraId="6C0BC8BB" w14:textId="68BD4F96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NHS England.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(2021, June 22).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Health Technical Memorandum 03-01: Specialised ventilation for healthcare premises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(updated January 26, 2024). Retrieved October 7, 2025, from </w:t>
      </w:r>
      <w:hyperlink r:id="Rb675675d5dbc4c87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https://www.england.nhs.uk/publication/specialised-ventilation-for-healthcare-buildings/</w:t>
        </w:r>
      </w:hyperlink>
    </w:p>
    <w:p w:rsidR="53AED4C3" w:rsidP="1400960F" w:rsidRDefault="53AED4C3" w14:paraId="3C9159A5" w14:textId="2FAE87E1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NHS England.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(2024, January 26).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Health Technical Memorandum 01-01: Management and decontamination of surgical instruments (medical devices) used in acute care.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Retrieved October 7, 2025, from </w:t>
      </w:r>
      <w:hyperlink r:id="Rd3b799f7921743c0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https://www.england.nhs.uk/publication/decontamination-of-surgical-instruments-htm-01-01/</w:t>
        </w:r>
      </w:hyperlink>
    </w:p>
    <w:p w:rsidR="53AED4C3" w:rsidP="1400960F" w:rsidRDefault="53AED4C3" w14:paraId="48AD59B0" w14:textId="45F027D5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NHS England.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(2024, January 26).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Health Technical Memorandum 01-06: Decontamination of flexible endoscopes.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Retrieved October 7, 2025, from </w:t>
      </w:r>
      <w:hyperlink r:id="R6119e3868b7d4d4e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https://www.england.nhs.uk/publication/management-and-decontamination-of-flexible-endoscopes-htm-01-06/</w:t>
        </w:r>
      </w:hyperlink>
    </w:p>
    <w:p w:rsidR="53AED4C3" w:rsidP="1400960F" w:rsidRDefault="53AED4C3" w14:paraId="49A35D97" w14:textId="45B18719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Nwokolo, N. C., Dragovic, B., Patel, S., Tong, C. Y., Barker, G., &amp; Radcliffe, K.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(2016). 2015 UK national guideline for the management of infection with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Chlamydia trachomatis.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International Journal of STD &amp; AIDS, 27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(4), 251–267. </w:t>
      </w:r>
      <w:hyperlink r:id="Rd39a7040045a4a79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https://doi.org/10.1177/0956462415615443</w:t>
        </w:r>
      </w:hyperlink>
    </w:p>
    <w:p w:rsidR="53AED4C3" w:rsidP="1400960F" w:rsidRDefault="53AED4C3" w14:paraId="08B5DC0C" w14:textId="7C00B5F4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Ramsay, M.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(Ed.). (2020).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Immunisation against infectious disease.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UK Health Security Agency. </w:t>
      </w:r>
      <w:hyperlink r:id="R1df872aa70fc436f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https://www.gov.uk/government/collections/immunisation-against-infectious-disease-the-green-book</w:t>
        </w:r>
      </w:hyperlink>
    </w:p>
    <w:p w:rsidR="53AED4C3" w:rsidP="1400960F" w:rsidRDefault="53AED4C3" w14:paraId="75009D55" w14:textId="33A3B1BD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Royal College of Pathologists.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(n.d.).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UK Standards for Microbiology Investigations.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Retrieved October 7, 2025, from </w:t>
      </w:r>
      <w:hyperlink r:id="R9954f3667d364251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https://www.rcpath.org/profession/publications/standards-for-microbiology-investigations.html</w:t>
        </w:r>
      </w:hyperlink>
    </w:p>
    <w:p w:rsidR="53AED4C3" w:rsidP="1400960F" w:rsidRDefault="53AED4C3" w14:paraId="5065C544" w14:textId="3D65F61E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Schelenz, S., Barnes, R. A., Barton, R. C., Cleverley, J. R., Lucas, S. B., Kibbler, C. C., &amp; Denning, D. W.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(2015). British Society for Medical Mycology best practice recommendations for the diagnosis of serious fungal diseases.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The Lancet Infectious Diseases, 15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(4), 461–474. </w:t>
      </w:r>
      <w:hyperlink r:id="Re98663611be44618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https://doi.org/10.1016/S1473-3099(15)70006-X</w:t>
        </w:r>
      </w:hyperlink>
    </w:p>
    <w:p w:rsidR="53AED4C3" w:rsidP="1400960F" w:rsidRDefault="53AED4C3" w14:paraId="53923BD5" w14:textId="4CFC2185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Tamma, P. D., Heil, E. L., Justo, J. A., Mathers, A. J., Satlin, M. J., &amp; Bonomo, R. A.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(2024). Infectious Diseases Society of America 2024 Guidance on the treatment of antimicrobial-resistant Gram-negative infections.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Clinical Infectious Diseases.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</w:t>
      </w:r>
      <w:hyperlink r:id="Rf75bd28af6524a7a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https://doi.org/10.1093/cid/ciae403</w:t>
        </w:r>
      </w:hyperlink>
    </w:p>
    <w:p w:rsidR="53AED4C3" w:rsidP="1400960F" w:rsidRDefault="53AED4C3" w14:paraId="7FB986A1" w14:textId="4888B7C4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Török, E., Moran, E., &amp; Cooke, F. J.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(2017).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Oxford Handbook of Infectious Diseases and Microbiology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(2nd ed.). Oxford University Press.</w:t>
      </w:r>
    </w:p>
    <w:p w:rsidR="53AED4C3" w:rsidP="1400960F" w:rsidRDefault="53AED4C3" w14:paraId="61685657" w14:textId="1998AAFD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UK Health Security Agency.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(2024, August 2).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Viral rash in pregnancy: Guidance on the investigation, diagnosis and management of viral illness (plus syphilis), or exposure to viral rash illness, in pregnancy.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GOV.UK. Retrieved October 7, 2025, from </w:t>
      </w:r>
      <w:hyperlink r:id="R6c27a805e7d34768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https://www.gov.uk/government/publications/viral-rash-in-pregnancy</w:t>
        </w:r>
      </w:hyperlink>
    </w:p>
    <w:p w:rsidR="53AED4C3" w:rsidP="1400960F" w:rsidRDefault="53AED4C3" w14:paraId="4E10DB33" w14:textId="706E2E46">
      <w:pPr>
        <w:spacing w:before="240" w:beforeAutospacing="off" w:after="240" w:afterAutospacing="off"/>
      </w:pPr>
      <w:r w:rsidRPr="1400960F" w:rsidR="53AED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White, J., O’Farrell, N., &amp; Daniels, D.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(2013). 2013 UK National Guideline for the management of lymphogranuloma venereum. </w:t>
      </w:r>
      <w:r w:rsidRPr="1400960F" w:rsidR="53AED4C3">
        <w:rPr>
          <w:rFonts w:ascii="system-ui" w:hAnsi="system-ui" w:eastAsia="system-ui" w:cs="system-ui"/>
          <w:i w:val="1"/>
          <w:iCs w:val="1"/>
          <w:noProof w:val="0"/>
          <w:sz w:val="24"/>
          <w:szCs w:val="24"/>
          <w:lang w:val="en-GB"/>
        </w:rPr>
        <w:t>International Journal of STD &amp; AIDS, 24</w:t>
      </w:r>
      <w:r w:rsidRPr="1400960F" w:rsidR="53AED4C3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(8), 593–601. </w:t>
      </w:r>
      <w:hyperlink r:id="R90474ba030d740f6">
        <w:r w:rsidRPr="1400960F" w:rsidR="53AED4C3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GB"/>
          </w:rPr>
          <w:t>https://doi.org/10.1177/0956462413482811</w:t>
        </w:r>
      </w:hyperlink>
    </w:p>
    <w:p w:rsidR="1400960F" w:rsidP="1400960F" w:rsidRDefault="1400960F" w14:paraId="5DD026F1" w14:textId="419142FC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949764"/>
    <w:rsid w:val="018D771F"/>
    <w:rsid w:val="02949764"/>
    <w:rsid w:val="03B967E3"/>
    <w:rsid w:val="080F9755"/>
    <w:rsid w:val="09A18844"/>
    <w:rsid w:val="0A351B85"/>
    <w:rsid w:val="0E0F2171"/>
    <w:rsid w:val="10B4D5E2"/>
    <w:rsid w:val="11B85ECD"/>
    <w:rsid w:val="12295BB8"/>
    <w:rsid w:val="122D0F78"/>
    <w:rsid w:val="1400960F"/>
    <w:rsid w:val="1598AF4B"/>
    <w:rsid w:val="17BDE34A"/>
    <w:rsid w:val="1E7B852C"/>
    <w:rsid w:val="1F6DFF27"/>
    <w:rsid w:val="285A589D"/>
    <w:rsid w:val="2ADA52D4"/>
    <w:rsid w:val="30D8293D"/>
    <w:rsid w:val="31B6044C"/>
    <w:rsid w:val="38ADA384"/>
    <w:rsid w:val="3DEA023F"/>
    <w:rsid w:val="447FEFE0"/>
    <w:rsid w:val="4521E523"/>
    <w:rsid w:val="4916C85D"/>
    <w:rsid w:val="4DC2DE5F"/>
    <w:rsid w:val="51100E94"/>
    <w:rsid w:val="520A232A"/>
    <w:rsid w:val="53AED4C3"/>
    <w:rsid w:val="58E29B0D"/>
    <w:rsid w:val="5BB7B7D0"/>
    <w:rsid w:val="64E17B79"/>
    <w:rsid w:val="7044BCE5"/>
    <w:rsid w:val="714CB5C7"/>
    <w:rsid w:val="7483A8B0"/>
    <w:rsid w:val="76FDB39F"/>
    <w:rsid w:val="783F203B"/>
    <w:rsid w:val="7D4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9764"/>
  <w15:chartTrackingRefBased/>
  <w15:docId w15:val="{44858E04-AAA4-4A80-8B81-5E76F633B7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400960F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1400960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ssets.publishing.service.gov.uk/media/5a7c8378ed915d6969f45680/report.pdf" TargetMode="External" Id="R1cbdd24973054785" /><Relationship Type="http://schemas.openxmlformats.org/officeDocument/2006/relationships/hyperlink" Target="https://doi.org/10.1093/cid/ciaa1751" TargetMode="External" Id="R603f29302fdb42b9" /><Relationship Type="http://schemas.openxmlformats.org/officeDocument/2006/relationships/hyperlink" Target="https://www.bsg.org.uk/clinical-resource/2020-guidance-on-decontamination-of-equipment" TargetMode="External" Id="R61e44f09d9d24346" /><Relationship Type="http://schemas.openxmlformats.org/officeDocument/2006/relationships/hyperlink" Target="https://doi.org/10.1093/oso/9780197570944.001.0001" TargetMode="External" Id="R84b3b51203904ad4" /><Relationship Type="http://schemas.openxmlformats.org/officeDocument/2006/relationships/hyperlink" Target="https://doi.org/10.1177/09564624241280734" TargetMode="External" Id="R738b6741086c4291" /><Relationship Type="http://schemas.openxmlformats.org/officeDocument/2006/relationships/hyperlink" Target="https://doi.org/10.1093/med/9780198815938.001.0001" TargetMode="External" Id="R50aa8a39b64f4ff3" /><Relationship Type="http://schemas.openxmlformats.org/officeDocument/2006/relationships/hyperlink" Target="https://doi.org/10.1093/med/9780198810858.001.0001" TargetMode="External" Id="R3dc9093d6aa44c2e" /><Relationship Type="http://schemas.openxmlformats.org/officeDocument/2006/relationships/hyperlink" Target="https://www.eucast.org/fileadmin/src/media/PDFs/EUCAST_files/Breakpoint_tables/v_15.0_Breakpoint_Tables.pdf" TargetMode="External" Id="Rf869a023d39c49e1" /><Relationship Type="http://schemas.openxmlformats.org/officeDocument/2006/relationships/hyperlink" Target="https://doi.org/10.1177/09564624251345195" TargetMode="External" Id="Rf35c96c333294c80" /><Relationship Type="http://schemas.openxmlformats.org/officeDocument/2006/relationships/hyperlink" Target="https://doi.org/10.1201/9781498747967" TargetMode="External" Id="R5e48279c5d594809" /><Relationship Type="http://schemas.openxmlformats.org/officeDocument/2006/relationships/hyperlink" Target="https://doi.org/10.1093/med/9780198755388.001.0001" TargetMode="External" Id="Rb87ecaf1846043b8" /><Relationship Type="http://schemas.openxmlformats.org/officeDocument/2006/relationships/hyperlink" Target="https://doi.org/10.1177/09564624241280406" TargetMode="External" Id="R0432dcf4388f4dbe" /><Relationship Type="http://schemas.openxmlformats.org/officeDocument/2006/relationships/hyperlink" Target="https://doi.org/10.1177/09564624241280387" TargetMode="External" Id="R86c0969b5c624f46" /><Relationship Type="http://schemas.openxmlformats.org/officeDocument/2006/relationships/hyperlink" Target="https://doi.org/10.1093/med/9780198783497.001.0001" TargetMode="External" Id="R4b15d35042034fda" /><Relationship Type="http://schemas.openxmlformats.org/officeDocument/2006/relationships/hyperlink" Target="https://doi.org/10.1177/09564624251321264" TargetMode="External" Id="R5d656de4a0cd4cc9" /><Relationship Type="http://schemas.openxmlformats.org/officeDocument/2006/relationships/hyperlink" Target="https://www.england.nhs.uk/publication/specialised-ventilation-for-healthcare-buildings/" TargetMode="External" Id="Rb675675d5dbc4c87" /><Relationship Type="http://schemas.openxmlformats.org/officeDocument/2006/relationships/hyperlink" Target="https://www.england.nhs.uk/publication/decontamination-of-surgical-instruments-htm-01-01/" TargetMode="External" Id="Rd3b799f7921743c0" /><Relationship Type="http://schemas.openxmlformats.org/officeDocument/2006/relationships/hyperlink" Target="https://www.england.nhs.uk/publication/management-and-decontamination-of-flexible-endoscopes-htm-01-06/" TargetMode="External" Id="R6119e3868b7d4d4e" /><Relationship Type="http://schemas.openxmlformats.org/officeDocument/2006/relationships/hyperlink" Target="https://doi.org/10.1177/0956462415615443" TargetMode="External" Id="Rd39a7040045a4a79" /><Relationship Type="http://schemas.openxmlformats.org/officeDocument/2006/relationships/hyperlink" Target="https://www.gov.uk/government/collections/immunisation-against-infectious-disease-the-green-book" TargetMode="External" Id="R1df872aa70fc436f" /><Relationship Type="http://schemas.openxmlformats.org/officeDocument/2006/relationships/hyperlink" Target="https://www.rcpath.org/profession/publications/standards-for-microbiology-investigations.html" TargetMode="External" Id="R9954f3667d364251" /><Relationship Type="http://schemas.openxmlformats.org/officeDocument/2006/relationships/hyperlink" Target="https://doi.org/10.1016/S1473-3099(15)70006-X" TargetMode="External" Id="Re98663611be44618" /><Relationship Type="http://schemas.openxmlformats.org/officeDocument/2006/relationships/hyperlink" Target="https://doi.org/10.1093/cid/ciae403" TargetMode="External" Id="Rf75bd28af6524a7a" /><Relationship Type="http://schemas.openxmlformats.org/officeDocument/2006/relationships/hyperlink" Target="https://www.gov.uk/government/publications/viral-rash-in-pregnancy" TargetMode="External" Id="R6c27a805e7d34768" /><Relationship Type="http://schemas.openxmlformats.org/officeDocument/2006/relationships/hyperlink" Target="https://doi.org/10.1177/0956462413482811" TargetMode="External" Id="R90474ba030d740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2</revision>
  <dcterms:created xsi:type="dcterms:W3CDTF">2025-10-07T07:24:54.6511909Z</dcterms:created>
  <dcterms:modified xsi:type="dcterms:W3CDTF">2025-10-07T07:56:35.4328754Z</dcterms:modified>
</coreProperties>
</file>