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2A20" w:rsidP="5812689C" w:rsidRDefault="66763DF6" w14:paraId="5AEE37AB" w14:textId="3C85F674">
      <w:pPr>
        <w:pStyle w:val="Heading1"/>
      </w:pPr>
      <w:r w:rsidR="66763DF6">
        <w:rPr/>
        <w:t xml:space="preserve">Scabies </w:t>
      </w:r>
    </w:p>
    <w:p w:rsidR="00832A20" w:rsidP="5812689C" w:rsidRDefault="66763DF6" w14:paraId="260B9538" w14:textId="7AAC0171">
      <w:pPr>
        <w:pStyle w:val="Heading1"/>
      </w:pPr>
      <w:r w:rsidR="66763DF6">
        <w:rPr/>
        <w:t>BASHH UK Guideline 2025</w:t>
      </w:r>
    </w:p>
    <w:p w:rsidR="00832A20" w:rsidRDefault="00832A20" w14:paraId="5C0C8815" w14:textId="2DC6FFED"/>
    <w:p w:rsidR="00832A20" w:rsidP="50D7E19C" w:rsidRDefault="66763DF6" w14:paraId="595ED317" w14:textId="69133AF0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1. New or frequently overlooked points</w:t>
      </w:r>
    </w:p>
    <w:p w:rsidR="00832A20" w:rsidP="50D7E19C" w:rsidRDefault="66763DF6" w14:paraId="10619C98" w14:textId="7FC99A4D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Drug‑supply &amp; cost:</w:t>
      </w:r>
      <w:r w:rsidRPr="50D7E19C">
        <w:rPr>
          <w:rFonts w:ascii="Aptos" w:hAnsi="Aptos" w:eastAsia="Aptos" w:cs="Aptos"/>
        </w:rPr>
        <w:t xml:space="preserve"> intermittent UK shortages of </w:t>
      </w:r>
      <w:r w:rsidRPr="50D7E19C">
        <w:rPr>
          <w:rFonts w:ascii="Aptos" w:hAnsi="Aptos" w:eastAsia="Aptos" w:cs="Aptos"/>
          <w:i/>
          <w:iCs/>
        </w:rPr>
        <w:t>both</w:t>
      </w:r>
      <w:r w:rsidRPr="50D7E19C">
        <w:rPr>
          <w:rFonts w:ascii="Aptos" w:hAnsi="Aptos" w:eastAsia="Aptos" w:cs="Aptos"/>
        </w:rPr>
        <w:t xml:space="preserve"> permethrin cream and ivermectin tablets since 2023; ivermectin is usually the more expensive option – factor availability &amp; price into regimen choice.</w:t>
      </w:r>
    </w:p>
    <w:p w:rsidR="00832A20" w:rsidP="50D7E19C" w:rsidRDefault="66763DF6" w14:paraId="10BC09D1" w14:textId="554F0BB5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410557FD" w:rsidR="66763DF6">
        <w:rPr>
          <w:rFonts w:ascii="Aptos" w:hAnsi="Aptos" w:eastAsia="Aptos" w:cs="Aptos"/>
          <w:b w:val="1"/>
          <w:bCs w:val="1"/>
        </w:rPr>
        <w:t>Application technique is examinable:</w:t>
      </w:r>
      <w:r w:rsidRPr="410557FD" w:rsidR="66763DF6">
        <w:rPr>
          <w:rFonts w:ascii="Aptos" w:hAnsi="Aptos" w:eastAsia="Aptos" w:cs="Aptos"/>
        </w:rPr>
        <w:t xml:space="preserve"> head/neck </w:t>
      </w:r>
      <w:r w:rsidRPr="410557FD" w:rsidR="66763DF6">
        <w:rPr>
          <w:rFonts w:ascii="Aptos" w:hAnsi="Aptos" w:eastAsia="Aptos" w:cs="Aptos"/>
          <w:b w:val="1"/>
          <w:bCs w:val="1"/>
        </w:rPr>
        <w:t>must</w:t>
      </w:r>
      <w:r w:rsidRPr="410557FD" w:rsidR="66763DF6">
        <w:rPr>
          <w:rFonts w:ascii="Aptos" w:hAnsi="Aptos" w:eastAsia="Aptos" w:cs="Aptos"/>
        </w:rPr>
        <w:t xml:space="preserve"> be treated in everyone ≥ 65 y or immunocompromised; clip nails, lift rings, apply to cool dry skin and leave permethrin 12 h (re‑apply to any area washed within that window) – most adults need 30 g but up to 60 g may be required.</w:t>
      </w:r>
    </w:p>
    <w:p w:rsidR="00832A20" w:rsidP="50D7E19C" w:rsidRDefault="66763DF6" w14:paraId="6517906D" w14:textId="5363A578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Ivermectin pearls:</w:t>
      </w:r>
      <w:r w:rsidRPr="50D7E19C">
        <w:rPr>
          <w:rFonts w:ascii="Aptos" w:hAnsi="Aptos" w:eastAsia="Aptos" w:cs="Aptos"/>
        </w:rPr>
        <w:t xml:space="preserve"> give </w:t>
      </w:r>
      <w:r w:rsidRPr="50D7E19C">
        <w:rPr>
          <w:rFonts w:ascii="Aptos" w:hAnsi="Aptos" w:eastAsia="Aptos" w:cs="Aptos"/>
          <w:b/>
          <w:bCs/>
        </w:rPr>
        <w:t>two 200 µg kg‑1 doses</w:t>
      </w:r>
      <w:r w:rsidRPr="50D7E19C">
        <w:rPr>
          <w:rFonts w:ascii="Aptos" w:hAnsi="Aptos" w:eastAsia="Aptos" w:cs="Aptos"/>
        </w:rPr>
        <w:t xml:space="preserve"> (Day 1 &amp; 8–15), round </w:t>
      </w:r>
      <w:r w:rsidRPr="50D7E19C">
        <w:rPr>
          <w:rFonts w:ascii="Aptos" w:hAnsi="Aptos" w:eastAsia="Aptos" w:cs="Aptos"/>
          <w:b/>
          <w:bCs/>
        </w:rPr>
        <w:t>up</w:t>
      </w:r>
      <w:r w:rsidRPr="50D7E19C">
        <w:rPr>
          <w:rFonts w:ascii="Aptos" w:hAnsi="Aptos" w:eastAsia="Aptos" w:cs="Aptos"/>
        </w:rPr>
        <w:t xml:space="preserve"> to nearest 3 mg tablet, take </w:t>
      </w:r>
      <w:r w:rsidRPr="50D7E19C">
        <w:rPr>
          <w:rFonts w:ascii="Aptos" w:hAnsi="Aptos" w:eastAsia="Aptos" w:cs="Aptos"/>
          <w:b/>
          <w:bCs/>
        </w:rPr>
        <w:t>with food</w:t>
      </w:r>
      <w:r w:rsidRPr="50D7E19C">
        <w:rPr>
          <w:rFonts w:ascii="Aptos" w:hAnsi="Aptos" w:eastAsia="Aptos" w:cs="Aptos"/>
        </w:rPr>
        <w:t xml:space="preserve"> to ↑ bioavailability; seek pharmacy advice if weight &gt; 120 kg (doses may exceed SmPC limit). </w:t>
      </w:r>
    </w:p>
    <w:p w:rsidR="00832A20" w:rsidP="50D7E19C" w:rsidRDefault="66763DF6" w14:paraId="26FC5694" w14:textId="6C98C05B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Post‑</w:t>
      </w:r>
      <w:proofErr w:type="spellStart"/>
      <w:r w:rsidRPr="50D7E19C">
        <w:rPr>
          <w:rFonts w:ascii="Aptos" w:hAnsi="Aptos" w:eastAsia="Aptos" w:cs="Aptos"/>
          <w:b/>
          <w:bCs/>
        </w:rPr>
        <w:t>scabetic</w:t>
      </w:r>
      <w:proofErr w:type="spellEnd"/>
      <w:r w:rsidRPr="50D7E19C">
        <w:rPr>
          <w:rFonts w:ascii="Aptos" w:hAnsi="Aptos" w:eastAsia="Aptos" w:cs="Aptos"/>
          <w:b/>
          <w:bCs/>
        </w:rPr>
        <w:t xml:space="preserve"> itch is common</w:t>
      </w:r>
      <w:r w:rsidRPr="50D7E19C">
        <w:rPr>
          <w:rFonts w:ascii="Aptos" w:hAnsi="Aptos" w:eastAsia="Aptos" w:cs="Aptos"/>
        </w:rPr>
        <w:t xml:space="preserve"> (median 52 d) – counsel patients, treat with emollient ± crotamiton, avoid repeated scabicides.</w:t>
      </w:r>
    </w:p>
    <w:p w:rsidR="00832A20" w:rsidRDefault="00832A20" w14:paraId="391DDE28" w14:textId="4212612F"/>
    <w:p w:rsidR="00832A20" w:rsidP="50D7E19C" w:rsidRDefault="66763DF6" w14:paraId="0582A5EE" w14:textId="00E53711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2. Biology &amp; epidemiology (high‑yield facts)</w:t>
      </w:r>
    </w:p>
    <w:p w:rsidRPr="00755BB8" w:rsidR="00526EEA" w:rsidP="00755BB8" w:rsidRDefault="66763DF6" w14:paraId="6D4BC7CC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proofErr w:type="spellStart"/>
      <w:r w:rsidRPr="00755BB8">
        <w:rPr>
          <w:rFonts w:ascii="Aptos" w:hAnsi="Aptos" w:eastAsia="Aptos" w:cs="Aptos"/>
        </w:rPr>
        <w:t>Sarcoptes</w:t>
      </w:r>
      <w:proofErr w:type="spellEnd"/>
      <w:r w:rsidRPr="00755BB8">
        <w:rPr>
          <w:rFonts w:ascii="Aptos" w:hAnsi="Aptos" w:eastAsia="Aptos" w:cs="Aptos"/>
        </w:rPr>
        <w:t xml:space="preserve"> scabiei var. hominis: </w:t>
      </w:r>
    </w:p>
    <w:p w:rsidRPr="00755BB8" w:rsidR="00034624" w:rsidP="00755BB8" w:rsidRDefault="66763DF6" w14:paraId="3F958306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00755BB8">
        <w:rPr>
          <w:rFonts w:ascii="Aptos" w:hAnsi="Aptos" w:eastAsia="Aptos" w:cs="Aptos"/>
        </w:rPr>
        <w:t xml:space="preserve">fertilised female burrows in stratum corneum, </w:t>
      </w:r>
    </w:p>
    <w:p w:rsidRPr="00755BB8" w:rsidR="00CF055F" w:rsidP="00755BB8" w:rsidRDefault="66763DF6" w14:paraId="5F6DE3AC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00755BB8">
        <w:rPr>
          <w:rFonts w:ascii="Aptos" w:hAnsi="Aptos" w:eastAsia="Aptos" w:cs="Aptos"/>
        </w:rPr>
        <w:t>lays 1–3 eggs day</w:t>
      </w:r>
      <w:r w:rsidRPr="00755BB8">
        <w:rPr>
          <w:rFonts w:ascii="Cambria Math" w:hAnsi="Cambria Math" w:eastAsia="Aptos" w:cs="Cambria Math"/>
        </w:rPr>
        <w:t>‑</w:t>
      </w:r>
      <w:proofErr w:type="gramStart"/>
      <w:r w:rsidRPr="00755BB8">
        <w:rPr>
          <w:rFonts w:ascii="Aptos" w:hAnsi="Aptos" w:eastAsia="Aptos" w:cs="Aptos"/>
        </w:rPr>
        <w:t>1;</w:t>
      </w:r>
      <w:proofErr w:type="gramEnd"/>
      <w:r w:rsidRPr="00755BB8">
        <w:rPr>
          <w:rFonts w:ascii="Aptos" w:hAnsi="Aptos" w:eastAsia="Aptos" w:cs="Aptos"/>
        </w:rPr>
        <w:t xml:space="preserve"> </w:t>
      </w:r>
    </w:p>
    <w:p w:rsidRPr="00755BB8" w:rsidR="00C4231A" w:rsidP="00755BB8" w:rsidRDefault="66763DF6" w14:paraId="124D16E6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00755BB8">
        <w:rPr>
          <w:rFonts w:ascii="Aptos" w:hAnsi="Aptos" w:eastAsia="Aptos" w:cs="Aptos"/>
        </w:rPr>
        <w:t>life</w:t>
      </w:r>
      <w:r w:rsidRPr="00755BB8">
        <w:rPr>
          <w:rFonts w:ascii="Cambria Math" w:hAnsi="Cambria Math" w:eastAsia="Aptos" w:cs="Cambria Math"/>
        </w:rPr>
        <w:t>‑</w:t>
      </w:r>
      <w:r w:rsidRPr="00755BB8">
        <w:rPr>
          <w:rFonts w:ascii="Aptos" w:hAnsi="Aptos" w:eastAsia="Aptos" w:cs="Aptos"/>
        </w:rPr>
        <w:t xml:space="preserve">cycle 10–15 d. </w:t>
      </w:r>
    </w:p>
    <w:p w:rsidRPr="00755BB8" w:rsidR="00C4231A" w:rsidP="00755BB8" w:rsidRDefault="66763DF6" w14:paraId="2D6DE88C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00755BB8">
        <w:rPr>
          <w:rFonts w:ascii="Aptos" w:hAnsi="Aptos" w:eastAsia="Aptos" w:cs="Aptos"/>
        </w:rPr>
        <w:t>Mites survive ≤ 36 h off</w:t>
      </w:r>
      <w:r w:rsidRPr="00755BB8">
        <w:rPr>
          <w:rFonts w:ascii="Cambria Math" w:hAnsi="Cambria Math" w:eastAsia="Aptos" w:cs="Cambria Math"/>
        </w:rPr>
        <w:t>‑</w:t>
      </w:r>
      <w:r w:rsidRPr="00755BB8">
        <w:rPr>
          <w:rFonts w:ascii="Aptos" w:hAnsi="Aptos" w:eastAsia="Aptos" w:cs="Aptos"/>
        </w:rPr>
        <w:t>host at 21 °C, longer in cool humid environments.</w:t>
      </w:r>
    </w:p>
    <w:p w:rsidR="00832A20" w:rsidP="00755BB8" w:rsidRDefault="66763DF6" w14:paraId="70646C4A" w14:textId="7DC2AE95">
      <w:pPr>
        <w:pStyle w:val="ListParagraph"/>
        <w:numPr>
          <w:ilvl w:val="0"/>
          <w:numId w:val="11"/>
        </w:numPr>
        <w:spacing w:after="0" w:line="240" w:lineRule="auto"/>
      </w:pPr>
      <w:r w:rsidRPr="00755BB8">
        <w:rPr>
          <w:rFonts w:ascii="Aptos" w:hAnsi="Aptos" w:eastAsia="Aptos" w:cs="Aptos"/>
        </w:rPr>
        <w:t>Transmission is prolonged skin</w:t>
      </w:r>
      <w:r w:rsidRPr="00755BB8">
        <w:rPr>
          <w:rFonts w:ascii="Cambria Math" w:hAnsi="Cambria Math" w:eastAsia="Aptos" w:cs="Cambria Math"/>
        </w:rPr>
        <w:t>‑</w:t>
      </w:r>
      <w:r w:rsidRPr="00755BB8">
        <w:rPr>
          <w:rFonts w:ascii="Aptos" w:hAnsi="Aptos" w:eastAsia="Aptos" w:cs="Aptos"/>
        </w:rPr>
        <w:t>to</w:t>
      </w:r>
      <w:r w:rsidRPr="00755BB8">
        <w:rPr>
          <w:rFonts w:ascii="Cambria Math" w:hAnsi="Cambria Math" w:eastAsia="Aptos" w:cs="Cambria Math"/>
        </w:rPr>
        <w:t>‑</w:t>
      </w:r>
      <w:r w:rsidRPr="00755BB8">
        <w:rPr>
          <w:rFonts w:ascii="Aptos" w:hAnsi="Aptos" w:eastAsia="Aptos" w:cs="Aptos"/>
        </w:rPr>
        <w:t>skin; fomites matter mainly in crusted scabies.</w:t>
      </w:r>
    </w:p>
    <w:p w:rsidR="00832A20" w:rsidRDefault="00832A20" w14:paraId="01C3ECCC" w14:textId="5D00618C"/>
    <w:p w:rsidR="00832A20" w:rsidP="50D7E19C" w:rsidRDefault="66763DF6" w14:paraId="1D80CFE3" w14:textId="33911DFE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3. Clinical spectrum &amp; risk groups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4428"/>
        <w:gridCol w:w="4467"/>
      </w:tblGrid>
      <w:tr w:rsidR="50D7E19C" w:rsidTr="3B7D3AA6" w14:paraId="02BCAF6B" w14:textId="77777777">
        <w:trPr>
          <w:trHeight w:val="300"/>
        </w:trPr>
        <w:tc>
          <w:tcPr>
            <w:tcW w:w="1560" w:type="dxa"/>
            <w:tcMar/>
            <w:vAlign w:val="center"/>
          </w:tcPr>
          <w:p w:rsidR="50D7E19C" w:rsidP="50D7E19C" w:rsidRDefault="50D7E19C" w14:paraId="53F7573B" w14:textId="77172FD5">
            <w:pPr>
              <w:spacing w:after="0"/>
              <w:jc w:val="center"/>
            </w:pPr>
            <w:r w:rsidRPr="50D7E19C">
              <w:rPr>
                <w:b/>
                <w:bCs/>
              </w:rPr>
              <w:t>Variant</w:t>
            </w:r>
          </w:p>
        </w:tc>
        <w:tc>
          <w:tcPr>
            <w:tcW w:w="4428" w:type="dxa"/>
            <w:tcMar/>
            <w:vAlign w:val="center"/>
          </w:tcPr>
          <w:p w:rsidR="50D7E19C" w:rsidP="50D7E19C" w:rsidRDefault="50D7E19C" w14:paraId="3A5270A8" w14:textId="37D2D881">
            <w:pPr>
              <w:spacing w:after="0"/>
              <w:jc w:val="center"/>
            </w:pPr>
            <w:r w:rsidRPr="50D7E19C">
              <w:rPr>
                <w:b/>
                <w:bCs/>
              </w:rPr>
              <w:t>Key features</w:t>
            </w:r>
          </w:p>
        </w:tc>
        <w:tc>
          <w:tcPr>
            <w:tcW w:w="4467" w:type="dxa"/>
            <w:tcMar/>
            <w:vAlign w:val="center"/>
          </w:tcPr>
          <w:p w:rsidR="50D7E19C" w:rsidP="50D7E19C" w:rsidRDefault="50D7E19C" w14:paraId="71E59C1F" w14:textId="765DE1F5">
            <w:pPr>
              <w:spacing w:after="0"/>
              <w:jc w:val="center"/>
            </w:pPr>
            <w:r w:rsidRPr="50D7E19C">
              <w:rPr>
                <w:b/>
                <w:bCs/>
              </w:rPr>
              <w:t>Exam pointers</w:t>
            </w:r>
          </w:p>
        </w:tc>
      </w:tr>
      <w:tr w:rsidR="50D7E19C" w:rsidTr="3B7D3AA6" w14:paraId="15E4694A" w14:textId="77777777">
        <w:trPr>
          <w:trHeight w:val="300"/>
        </w:trPr>
        <w:tc>
          <w:tcPr>
            <w:tcW w:w="1560" w:type="dxa"/>
            <w:tcMar/>
            <w:vAlign w:val="center"/>
          </w:tcPr>
          <w:p w:rsidR="50D7E19C" w:rsidP="50D7E19C" w:rsidRDefault="50D7E19C" w14:paraId="482B30FC" w14:textId="18670D20">
            <w:pPr>
              <w:spacing w:after="0"/>
            </w:pPr>
            <w:r w:rsidRPr="50D7E19C">
              <w:rPr>
                <w:b/>
                <w:bCs/>
              </w:rPr>
              <w:t>Classical</w:t>
            </w:r>
          </w:p>
        </w:tc>
        <w:tc>
          <w:tcPr>
            <w:tcW w:w="4428" w:type="dxa"/>
            <w:tcMar/>
            <w:vAlign w:val="center"/>
          </w:tcPr>
          <w:p w:rsidR="50D7E19C" w:rsidP="50D7E19C" w:rsidRDefault="50D7E19C" w14:paraId="76B50B35" w14:textId="2ADB83D4">
            <w:pPr>
              <w:spacing w:after="0"/>
            </w:pPr>
            <w:r>
              <w:t>Nocturnal pruritus, excoriated papules &amp; burrows (hands, wrists, genitalia, peri‑umbilical)</w:t>
            </w:r>
          </w:p>
        </w:tc>
        <w:tc>
          <w:tcPr>
            <w:tcW w:w="4467" w:type="dxa"/>
            <w:tcMar/>
            <w:vAlign w:val="center"/>
          </w:tcPr>
          <w:p w:rsidR="50D7E19C" w:rsidP="50D7E19C" w:rsidRDefault="50D7E19C" w14:paraId="1B99E5D1" w14:textId="4357E183">
            <w:pPr>
              <w:spacing w:after="0"/>
            </w:pPr>
            <w:r>
              <w:t>Back usually spared; head only in infants.</w:t>
            </w:r>
          </w:p>
        </w:tc>
      </w:tr>
      <w:tr w:rsidR="50D7E19C" w:rsidTr="3B7D3AA6" w14:paraId="40C277AF" w14:textId="77777777">
        <w:trPr>
          <w:trHeight w:val="300"/>
        </w:trPr>
        <w:tc>
          <w:tcPr>
            <w:tcW w:w="1560" w:type="dxa"/>
            <w:tcMar/>
            <w:vAlign w:val="center"/>
          </w:tcPr>
          <w:p w:rsidR="50D7E19C" w:rsidP="50D7E19C" w:rsidRDefault="50D7E19C" w14:paraId="34A804E5" w14:textId="5DFBC797">
            <w:pPr>
              <w:spacing w:after="0"/>
            </w:pPr>
            <w:r w:rsidRPr="50D7E19C">
              <w:rPr>
                <w:b/>
                <w:bCs/>
              </w:rPr>
              <w:t>Crusted</w:t>
            </w:r>
          </w:p>
        </w:tc>
        <w:tc>
          <w:tcPr>
            <w:tcW w:w="4428" w:type="dxa"/>
            <w:tcMar/>
            <w:vAlign w:val="center"/>
          </w:tcPr>
          <w:p w:rsidR="50D7E19C" w:rsidP="50D7E19C" w:rsidRDefault="50D7E19C" w14:paraId="1D55329E" w14:textId="25798979">
            <w:pPr>
              <w:spacing w:after="0"/>
            </w:pPr>
            <w:r>
              <w:t>Hyperkeratotic malodorous plaques, minimal itch, huge mite load</w:t>
            </w:r>
          </w:p>
        </w:tc>
        <w:tc>
          <w:tcPr>
            <w:tcW w:w="4467" w:type="dxa"/>
            <w:tcMar/>
            <w:vAlign w:val="center"/>
          </w:tcPr>
          <w:p w:rsidR="50D7E19C" w:rsidP="50D7E19C" w:rsidRDefault="50D7E19C" w14:paraId="51438E5C" w14:textId="7A2943D6">
            <w:pPr>
              <w:spacing w:after="0"/>
            </w:pPr>
            <w:r>
              <w:t xml:space="preserve">Risks: immunosuppression, elderly, neuro‑disability, Down syndrome; sepsis risk high. </w:t>
            </w:r>
          </w:p>
        </w:tc>
      </w:tr>
      <w:tr w:rsidR="50D7E19C" w:rsidTr="3B7D3AA6" w14:paraId="1B83FA9E" w14:textId="77777777">
        <w:trPr>
          <w:trHeight w:val="300"/>
        </w:trPr>
        <w:tc>
          <w:tcPr>
            <w:tcW w:w="1560" w:type="dxa"/>
            <w:tcMar/>
            <w:vAlign w:val="center"/>
          </w:tcPr>
          <w:p w:rsidR="50D7E19C" w:rsidP="50D7E19C" w:rsidRDefault="50D7E19C" w14:paraId="59474461" w14:textId="6147F711">
            <w:pPr>
              <w:spacing w:after="0"/>
            </w:pPr>
            <w:r w:rsidRPr="3B7D3AA6" w:rsidR="50D7E19C">
              <w:rPr>
                <w:b w:val="1"/>
                <w:bCs w:val="1"/>
              </w:rPr>
              <w:t xml:space="preserve">Nail </w:t>
            </w:r>
          </w:p>
        </w:tc>
        <w:tc>
          <w:tcPr>
            <w:tcW w:w="4428" w:type="dxa"/>
            <w:tcMar/>
            <w:vAlign w:val="center"/>
          </w:tcPr>
          <w:p w:rsidR="50D7E19C" w:rsidP="50D7E19C" w:rsidRDefault="50D7E19C" w14:paraId="65CE1F90" w14:textId="09A2F97B">
            <w:pPr>
              <w:spacing w:after="0"/>
            </w:pPr>
            <w:r w:rsidR="50D7E19C">
              <w:rPr/>
              <w:t xml:space="preserve">Dystrophic nails </w:t>
            </w:r>
          </w:p>
        </w:tc>
        <w:tc>
          <w:tcPr>
            <w:tcW w:w="4467" w:type="dxa"/>
            <w:tcMar/>
            <w:vAlign w:val="center"/>
          </w:tcPr>
          <w:p w:rsidR="50D7E19C" w:rsidP="50D7E19C" w:rsidRDefault="50D7E19C" w14:paraId="4B0C19AC" w14:textId="142065CF">
            <w:pPr>
              <w:spacing w:after="0"/>
            </w:pPr>
            <w:r>
              <w:t xml:space="preserve">Always mention in viva when rash atypical. </w:t>
            </w:r>
          </w:p>
        </w:tc>
      </w:tr>
      <w:tr w:rsidR="3B7D3AA6" w:rsidTr="3B7D3AA6" w14:paraId="79D9F3A7">
        <w:trPr>
          <w:trHeight w:val="300"/>
        </w:trPr>
        <w:tc>
          <w:tcPr>
            <w:tcW w:w="1560" w:type="dxa"/>
            <w:tcMar/>
            <w:vAlign w:val="center"/>
          </w:tcPr>
          <w:p w:rsidR="628A226B" w:rsidP="3B7D3AA6" w:rsidRDefault="628A226B" w14:paraId="63A5CCAA" w14:textId="2391E263">
            <w:pPr>
              <w:pStyle w:val="Normal"/>
              <w:rPr>
                <w:b w:val="1"/>
                <w:bCs w:val="1"/>
              </w:rPr>
            </w:pPr>
            <w:r w:rsidRPr="3B7D3AA6" w:rsidR="628A226B">
              <w:rPr>
                <w:b w:val="1"/>
                <w:bCs w:val="1"/>
              </w:rPr>
              <w:t>Bullous</w:t>
            </w:r>
          </w:p>
        </w:tc>
        <w:tc>
          <w:tcPr>
            <w:tcW w:w="4428" w:type="dxa"/>
            <w:tcMar/>
            <w:vAlign w:val="center"/>
          </w:tcPr>
          <w:p w:rsidR="628A226B" w:rsidP="3B7D3AA6" w:rsidRDefault="628A226B" w14:paraId="58888300" w14:textId="6DC63640">
            <w:pPr>
              <w:pStyle w:val="Normal"/>
            </w:pPr>
            <w:r w:rsidR="628A226B">
              <w:rPr/>
              <w:t>tense bullae in elderly</w:t>
            </w:r>
          </w:p>
        </w:tc>
        <w:tc>
          <w:tcPr>
            <w:tcW w:w="4467" w:type="dxa"/>
            <w:tcMar/>
            <w:vAlign w:val="center"/>
          </w:tcPr>
          <w:p w:rsidR="3B7D3AA6" w:rsidP="3B7D3AA6" w:rsidRDefault="3B7D3AA6" w14:paraId="23C32EC0" w14:textId="75990176">
            <w:pPr>
              <w:pStyle w:val="Normal"/>
            </w:pPr>
          </w:p>
        </w:tc>
      </w:tr>
      <w:tr w:rsidR="3B7D3AA6" w:rsidTr="3B7D3AA6" w14:paraId="5BE1F577">
        <w:trPr>
          <w:trHeight w:val="300"/>
        </w:trPr>
        <w:tc>
          <w:tcPr>
            <w:tcW w:w="1560" w:type="dxa"/>
            <w:tcMar/>
            <w:vAlign w:val="center"/>
          </w:tcPr>
          <w:p w:rsidR="628A226B" w:rsidP="3B7D3AA6" w:rsidRDefault="628A226B" w14:paraId="314A1E8B" w14:textId="4D7A05D9">
            <w:pPr>
              <w:pStyle w:val="Normal"/>
              <w:rPr>
                <w:b w:val="1"/>
                <w:bCs w:val="1"/>
              </w:rPr>
            </w:pPr>
            <w:r w:rsidRPr="3B7D3AA6" w:rsidR="628A226B">
              <w:rPr>
                <w:b w:val="1"/>
                <w:bCs w:val="1"/>
              </w:rPr>
              <w:t>Incognito</w:t>
            </w:r>
          </w:p>
        </w:tc>
        <w:tc>
          <w:tcPr>
            <w:tcW w:w="4428" w:type="dxa"/>
            <w:tcMar/>
            <w:vAlign w:val="center"/>
          </w:tcPr>
          <w:p w:rsidR="628A226B" w:rsidP="3B7D3AA6" w:rsidRDefault="628A226B" w14:paraId="2517208B" w14:textId="0E414269">
            <w:pPr>
              <w:pStyle w:val="Normal"/>
            </w:pPr>
            <w:r w:rsidR="628A226B">
              <w:rPr/>
              <w:t>steroid‑modified rash</w:t>
            </w:r>
          </w:p>
        </w:tc>
        <w:tc>
          <w:tcPr>
            <w:tcW w:w="4467" w:type="dxa"/>
            <w:tcMar/>
            <w:vAlign w:val="center"/>
          </w:tcPr>
          <w:p w:rsidR="3B7D3AA6" w:rsidP="3B7D3AA6" w:rsidRDefault="3B7D3AA6" w14:paraId="0FADCD92" w14:textId="03DE0D5E">
            <w:pPr>
              <w:pStyle w:val="Normal"/>
            </w:pPr>
          </w:p>
        </w:tc>
      </w:tr>
    </w:tbl>
    <w:p w:rsidR="00832A20" w:rsidRDefault="00832A20" w14:paraId="1BB3A5B2" w14:textId="53916FB8"/>
    <w:p w:rsidR="00832A20" w:rsidP="50D7E19C" w:rsidRDefault="66763DF6" w14:paraId="1BA69346" w14:textId="602BBEB6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lastRenderedPageBreak/>
        <w:t>4. Differential diagnosis – memorise common traps</w:t>
      </w:r>
    </w:p>
    <w:p w:rsidR="00832A20" w:rsidP="50D7E19C" w:rsidRDefault="66763DF6" w14:paraId="493D436D" w14:textId="5CED6FFE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Classical:</w:t>
      </w:r>
      <w:r w:rsidRPr="50D7E19C">
        <w:rPr>
          <w:rFonts w:ascii="Aptos" w:hAnsi="Aptos" w:eastAsia="Aptos" w:cs="Aptos"/>
        </w:rPr>
        <w:t xml:space="preserve"> impetigo, folliculitis, </w:t>
      </w:r>
      <w:proofErr w:type="spellStart"/>
      <w:r w:rsidRPr="50D7E19C">
        <w:rPr>
          <w:rFonts w:ascii="Aptos" w:hAnsi="Aptos" w:eastAsia="Aptos" w:cs="Aptos"/>
        </w:rPr>
        <w:t>papular</w:t>
      </w:r>
      <w:proofErr w:type="spellEnd"/>
      <w:r w:rsidRPr="50D7E19C">
        <w:rPr>
          <w:rFonts w:ascii="Aptos" w:hAnsi="Aptos" w:eastAsia="Aptos" w:cs="Aptos"/>
        </w:rPr>
        <w:t xml:space="preserve"> urticaria, atopic/contact dermatitis, dermatitis herpetiformis, psoriasis, pityriasis rosea, secondary syphilis, lymphoma/</w:t>
      </w:r>
      <w:proofErr w:type="spellStart"/>
      <w:r w:rsidRPr="50D7E19C">
        <w:rPr>
          <w:rFonts w:ascii="Aptos" w:hAnsi="Aptos" w:eastAsia="Aptos" w:cs="Aptos"/>
        </w:rPr>
        <w:t>pseudolymphoma</w:t>
      </w:r>
      <w:proofErr w:type="spellEnd"/>
      <w:r w:rsidRPr="50D7E19C">
        <w:rPr>
          <w:rFonts w:ascii="Aptos" w:hAnsi="Aptos" w:eastAsia="Aptos" w:cs="Aptos"/>
        </w:rPr>
        <w:t xml:space="preserve"> (nodular lesions).</w:t>
      </w:r>
    </w:p>
    <w:p w:rsidR="00832A20" w:rsidP="50D7E19C" w:rsidRDefault="66763DF6" w14:paraId="50F6080D" w14:textId="09D7C8B8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Crusted:</w:t>
      </w:r>
      <w:r w:rsidRPr="50D7E19C">
        <w:rPr>
          <w:rFonts w:ascii="Aptos" w:hAnsi="Aptos" w:eastAsia="Aptos" w:cs="Aptos"/>
        </w:rPr>
        <w:t xml:space="preserve"> psoriasis, eczema, Darier, pityriasis rubra pilaris, keratoderma, cutaneous T‑cell lymphoma.</w:t>
      </w:r>
    </w:p>
    <w:p w:rsidR="00832A20" w:rsidRDefault="00832A20" w14:paraId="5EF1AA23" w14:textId="73040748"/>
    <w:p w:rsidR="00832A20" w:rsidP="50D7E19C" w:rsidRDefault="66763DF6" w14:paraId="1CF99C76" w14:textId="4354585B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5. Complications to quote</w:t>
      </w:r>
    </w:p>
    <w:p w:rsidR="007835B0" w:rsidP="007835B0" w:rsidRDefault="66763DF6" w14:paraId="4F26B433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>Secondary bacterial infection (impetigo → GN, ecthyma, abscess),</w:t>
      </w:r>
    </w:p>
    <w:p w:rsidR="007835B0" w:rsidP="007835B0" w:rsidRDefault="66763DF6" w14:paraId="7ECF6B51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 post‑</w:t>
      </w:r>
      <w:proofErr w:type="spellStart"/>
      <w:r w:rsidRPr="50D7E19C">
        <w:rPr>
          <w:rFonts w:ascii="Aptos" w:hAnsi="Aptos" w:eastAsia="Aptos" w:cs="Aptos"/>
        </w:rPr>
        <w:t>scabetic</w:t>
      </w:r>
      <w:proofErr w:type="spellEnd"/>
      <w:r w:rsidRPr="50D7E19C">
        <w:rPr>
          <w:rFonts w:ascii="Aptos" w:hAnsi="Aptos" w:eastAsia="Aptos" w:cs="Aptos"/>
        </w:rPr>
        <w:t xml:space="preserve"> eczema, </w:t>
      </w:r>
    </w:p>
    <w:p w:rsidR="007835B0" w:rsidP="007835B0" w:rsidRDefault="66763DF6" w14:paraId="34C8DDE1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glomerulonephritis, </w:t>
      </w:r>
    </w:p>
    <w:p w:rsidR="007835B0" w:rsidP="007835B0" w:rsidRDefault="66763DF6" w14:paraId="02C304D7" w14:textId="7777777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leukocytoclastic vasculitis, sleep‑disturbing </w:t>
      </w:r>
      <w:proofErr w:type="gramStart"/>
      <w:r w:rsidRPr="50D7E19C">
        <w:rPr>
          <w:rFonts w:ascii="Aptos" w:hAnsi="Aptos" w:eastAsia="Aptos" w:cs="Aptos"/>
        </w:rPr>
        <w:t>pruritus;</w:t>
      </w:r>
      <w:proofErr w:type="gramEnd"/>
    </w:p>
    <w:p w:rsidRPr="007835B0" w:rsidR="00832A20" w:rsidP="007835B0" w:rsidRDefault="66763DF6" w14:paraId="01EE16DE" w14:textId="18F4CF57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 sepsis common in crusted disease.</w:t>
      </w:r>
    </w:p>
    <w:p w:rsidR="00832A20" w:rsidRDefault="00832A20" w14:paraId="0828D7D2" w14:textId="1DF19341"/>
    <w:p w:rsidR="00832A20" w:rsidP="50D7E19C" w:rsidRDefault="66763DF6" w14:paraId="587EB416" w14:textId="269B57AF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6. Diagnosis – three‑tier IACS 2020 (A/B/C) + tests</w:t>
      </w:r>
    </w:p>
    <w:p w:rsidR="00832A20" w:rsidP="50D7E19C" w:rsidRDefault="66763DF6" w14:paraId="3AD2CDF0" w14:textId="5FA0BB76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>Confirmed = mite/egg/</w:t>
      </w:r>
      <w:proofErr w:type="spellStart"/>
      <w:r w:rsidRPr="50D7E19C">
        <w:rPr>
          <w:rFonts w:ascii="Aptos" w:hAnsi="Aptos" w:eastAsia="Aptos" w:cs="Aptos"/>
        </w:rPr>
        <w:t>scybala</w:t>
      </w:r>
      <w:proofErr w:type="spellEnd"/>
      <w:r w:rsidRPr="50D7E19C">
        <w:rPr>
          <w:rFonts w:ascii="Aptos" w:hAnsi="Aptos" w:eastAsia="Aptos" w:cs="Aptos"/>
        </w:rPr>
        <w:t xml:space="preserve"> on microscopy, </w:t>
      </w:r>
      <w:proofErr w:type="spellStart"/>
      <w:r w:rsidRPr="50D7E19C">
        <w:rPr>
          <w:rFonts w:ascii="Aptos" w:hAnsi="Aptos" w:eastAsia="Aptos" w:cs="Aptos"/>
        </w:rPr>
        <w:t>dermoscopy</w:t>
      </w:r>
      <w:proofErr w:type="spellEnd"/>
      <w:r w:rsidRPr="50D7E19C">
        <w:rPr>
          <w:rFonts w:ascii="Aptos" w:hAnsi="Aptos" w:eastAsia="Aptos" w:cs="Aptos"/>
        </w:rPr>
        <w:t xml:space="preserve"> (“delta‑wing” sign) or high‑power imaging.</w:t>
      </w:r>
    </w:p>
    <w:p w:rsidR="00832A20" w:rsidP="50D7E19C" w:rsidRDefault="66763DF6" w14:paraId="0198EC2A" w14:textId="21F979EC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Clinical = burrow </w:t>
      </w:r>
      <w:r w:rsidRPr="50D7E19C">
        <w:rPr>
          <w:rFonts w:ascii="Aptos" w:hAnsi="Aptos" w:eastAsia="Aptos" w:cs="Aptos"/>
          <w:b/>
          <w:bCs/>
        </w:rPr>
        <w:t>OR</w:t>
      </w:r>
      <w:r w:rsidRPr="50D7E19C">
        <w:rPr>
          <w:rFonts w:ascii="Aptos" w:hAnsi="Aptos" w:eastAsia="Aptos" w:cs="Aptos"/>
        </w:rPr>
        <w:t xml:space="preserve"> typical genital papules </w:t>
      </w:r>
      <w:r w:rsidRPr="50D7E19C">
        <w:rPr>
          <w:rFonts w:ascii="Aptos" w:hAnsi="Aptos" w:eastAsia="Aptos" w:cs="Aptos"/>
          <w:b/>
          <w:bCs/>
        </w:rPr>
        <w:t>OR</w:t>
      </w:r>
      <w:r w:rsidRPr="50D7E19C">
        <w:rPr>
          <w:rFonts w:ascii="Aptos" w:hAnsi="Aptos" w:eastAsia="Aptos" w:cs="Aptos"/>
        </w:rPr>
        <w:t xml:space="preserve"> typical rash + ≥ 2 history items (itch/contact).</w:t>
      </w:r>
    </w:p>
    <w:p w:rsidR="00832A20" w:rsidP="50D7E19C" w:rsidRDefault="66763DF6" w14:paraId="3570A4A6" w14:textId="666097B4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Suspected = typical rash + 1 history item </w:t>
      </w:r>
      <w:r w:rsidRPr="50D7E19C">
        <w:rPr>
          <w:rFonts w:ascii="Aptos" w:hAnsi="Aptos" w:eastAsia="Aptos" w:cs="Aptos"/>
          <w:b/>
          <w:bCs/>
        </w:rPr>
        <w:t>OR</w:t>
      </w:r>
      <w:r w:rsidRPr="50D7E19C">
        <w:rPr>
          <w:rFonts w:ascii="Aptos" w:hAnsi="Aptos" w:eastAsia="Aptos" w:cs="Aptos"/>
        </w:rPr>
        <w:t xml:space="preserve"> atypical rash + 2 history items.</w:t>
      </w:r>
    </w:p>
    <w:p w:rsidR="00832A20" w:rsidP="50D7E19C" w:rsidRDefault="66763DF6" w14:paraId="4FC9B03F" w14:textId="05CF897C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Ancillary: adhesive‑tape microscopy, burrow‑ink test, </w:t>
      </w:r>
      <w:proofErr w:type="spellStart"/>
      <w:r w:rsidRPr="50D7E19C">
        <w:rPr>
          <w:rFonts w:ascii="Aptos" w:hAnsi="Aptos" w:eastAsia="Aptos" w:cs="Aptos"/>
        </w:rPr>
        <w:t>dermoscopy</w:t>
      </w:r>
      <w:proofErr w:type="spellEnd"/>
      <w:r w:rsidRPr="50D7E19C">
        <w:rPr>
          <w:rFonts w:ascii="Aptos" w:hAnsi="Aptos" w:eastAsia="Aptos" w:cs="Aptos"/>
        </w:rPr>
        <w:t xml:space="preserve">, PCR/ELISA (research). Sensitivity 46–90 %; specificity ~100 %. </w:t>
      </w:r>
    </w:p>
    <w:p w:rsidR="00832A20" w:rsidRDefault="00832A20" w14:paraId="2C8CADDE" w14:textId="0DAEB64A"/>
    <w:p w:rsidR="00832A20" w:rsidP="50D7E19C" w:rsidRDefault="66763DF6" w14:paraId="7A7F9818" w14:textId="19DF5FF3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7. Management framework</w:t>
      </w:r>
    </w:p>
    <w:p w:rsidR="00832A20" w:rsidP="50D7E19C" w:rsidRDefault="66763DF6" w14:paraId="08238E20" w14:textId="0B02EA04">
      <w:pPr>
        <w:pStyle w:val="Heading4"/>
        <w:spacing w:before="319" w:after="319"/>
      </w:pPr>
      <w:r w:rsidRPr="50D7E19C">
        <w:rPr>
          <w:rFonts w:ascii="Aptos" w:hAnsi="Aptos" w:eastAsia="Aptos" w:cs="Aptos"/>
          <w:b/>
          <w:bCs/>
        </w:rPr>
        <w:t>7.1 General / infection‑control advice</w:t>
      </w:r>
    </w:p>
    <w:p w:rsidR="00832A20" w:rsidP="50D7E19C" w:rsidRDefault="66763DF6" w14:paraId="542A175B" w14:textId="33D66256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Treat </w:t>
      </w:r>
      <w:r w:rsidRPr="50D7E19C">
        <w:rPr>
          <w:rFonts w:ascii="Aptos" w:hAnsi="Aptos" w:eastAsia="Aptos" w:cs="Aptos"/>
          <w:b/>
          <w:bCs/>
        </w:rPr>
        <w:t>all household, sexual &amp; care contacts</w:t>
      </w:r>
      <w:r w:rsidRPr="50D7E19C">
        <w:rPr>
          <w:rFonts w:ascii="Aptos" w:hAnsi="Aptos" w:eastAsia="Aptos" w:cs="Aptos"/>
        </w:rPr>
        <w:t xml:space="preserve"> within 24 h; use same regimen and second dose 7–14 d later.</w:t>
      </w:r>
    </w:p>
    <w:p w:rsidR="00960434" w:rsidP="50D7E19C" w:rsidRDefault="66763DF6" w14:paraId="681DB70A" w14:textId="77777777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>Fomite decontamination:</w:t>
      </w:r>
    </w:p>
    <w:p w:rsidR="00960434" w:rsidP="00960434" w:rsidRDefault="66763DF6" w14:paraId="4B4B1CFD" w14:textId="77777777">
      <w:pPr>
        <w:pStyle w:val="ListParagraph"/>
        <w:numPr>
          <w:ilvl w:val="1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 wash ≥ 50 °C × 35 min </w:t>
      </w:r>
      <w:r w:rsidRPr="50D7E19C">
        <w:rPr>
          <w:rFonts w:ascii="Aptos" w:hAnsi="Aptos" w:eastAsia="Aptos" w:cs="Aptos"/>
          <w:b/>
          <w:bCs/>
        </w:rPr>
        <w:t>OR</w:t>
      </w:r>
      <w:r w:rsidRPr="50D7E19C">
        <w:rPr>
          <w:rFonts w:ascii="Aptos" w:hAnsi="Aptos" w:eastAsia="Aptos" w:cs="Aptos"/>
        </w:rPr>
        <w:t xml:space="preserve"> </w:t>
      </w:r>
    </w:p>
    <w:p w:rsidR="00960434" w:rsidP="00960434" w:rsidRDefault="66763DF6" w14:paraId="1E358262" w14:textId="77777777">
      <w:pPr>
        <w:pStyle w:val="ListParagraph"/>
        <w:numPr>
          <w:ilvl w:val="1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>tumble‑dry high heat 10–35 min</w:t>
      </w:r>
      <w:r w:rsidR="00960434">
        <w:rPr>
          <w:rFonts w:ascii="Aptos" w:hAnsi="Aptos" w:eastAsia="Aptos" w:cs="Aptos"/>
        </w:rPr>
        <w:t xml:space="preserve"> OR</w:t>
      </w:r>
    </w:p>
    <w:p w:rsidR="00960434" w:rsidP="00960434" w:rsidRDefault="66763DF6" w14:paraId="1787C10F" w14:textId="77777777">
      <w:pPr>
        <w:pStyle w:val="ListParagraph"/>
        <w:numPr>
          <w:ilvl w:val="1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 seal non‑washables 4 d at room temp </w:t>
      </w:r>
      <w:r w:rsidR="00960434">
        <w:rPr>
          <w:rFonts w:ascii="Aptos" w:hAnsi="Aptos" w:eastAsia="Aptos" w:cs="Aptos"/>
        </w:rPr>
        <w:t>OR</w:t>
      </w:r>
    </w:p>
    <w:p w:rsidR="00832A20" w:rsidP="00960434" w:rsidRDefault="66763DF6" w14:paraId="03478173" w14:textId="2E128512">
      <w:pPr>
        <w:pStyle w:val="ListParagraph"/>
        <w:numPr>
          <w:ilvl w:val="1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 freeze &lt; ‑10 °C ≥ 5 h. </w:t>
      </w:r>
    </w:p>
    <w:p w:rsidR="00832A20" w:rsidP="50D7E19C" w:rsidRDefault="66763DF6" w14:paraId="38E0662B" w14:textId="4FE686B0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>Avoid sex/close contact until 24 h after first treatment &amp; cleaning done. Provide BAD/PCDS leaflets.</w:t>
      </w:r>
    </w:p>
    <w:p w:rsidR="00832A20" w:rsidP="50D7E19C" w:rsidRDefault="66763DF6" w14:paraId="17355B53" w14:textId="7852E6E3">
      <w:pPr>
        <w:pStyle w:val="Heading4"/>
        <w:spacing w:before="319" w:after="319"/>
      </w:pPr>
      <w:r w:rsidRPr="50D7E19C">
        <w:rPr>
          <w:rFonts w:ascii="Aptos" w:hAnsi="Aptos" w:eastAsia="Aptos" w:cs="Aptos"/>
          <w:b/>
          <w:bCs/>
        </w:rPr>
        <w:lastRenderedPageBreak/>
        <w:t>7.2 First‑line regimens (classical scabies)</w:t>
      </w:r>
    </w:p>
    <w:tbl>
      <w:tblPr>
        <w:tblW w:w="10582" w:type="dxa"/>
        <w:tblLayout w:type="fixed"/>
        <w:tblLook w:val="06A0" w:firstRow="1" w:lastRow="0" w:firstColumn="1" w:lastColumn="0" w:noHBand="1" w:noVBand="1"/>
      </w:tblPr>
      <w:tblGrid>
        <w:gridCol w:w="1639"/>
        <w:gridCol w:w="3696"/>
        <w:gridCol w:w="4595"/>
        <w:gridCol w:w="652"/>
      </w:tblGrid>
      <w:tr w:rsidR="50D7E19C" w:rsidTr="3B7D3AA6" w14:paraId="49CD2ABC" w14:textId="77777777">
        <w:trPr>
          <w:trHeight w:val="300"/>
        </w:trPr>
        <w:tc>
          <w:tcPr>
            <w:tcW w:w="1639" w:type="dxa"/>
            <w:tcMar/>
            <w:vAlign w:val="center"/>
          </w:tcPr>
          <w:p w:rsidR="50D7E19C" w:rsidP="50D7E19C" w:rsidRDefault="50D7E19C" w14:paraId="1F1CF192" w14:textId="53B4A2C0">
            <w:pPr>
              <w:spacing w:after="0"/>
              <w:jc w:val="center"/>
            </w:pPr>
            <w:r w:rsidRPr="50D7E19C">
              <w:rPr>
                <w:b/>
                <w:bCs/>
              </w:rPr>
              <w:t>Drug</w:t>
            </w:r>
          </w:p>
        </w:tc>
        <w:tc>
          <w:tcPr>
            <w:tcW w:w="3696" w:type="dxa"/>
            <w:tcMar/>
            <w:vAlign w:val="center"/>
          </w:tcPr>
          <w:p w:rsidR="50D7E19C" w:rsidP="50D7E19C" w:rsidRDefault="50D7E19C" w14:paraId="2FDEBDE6" w14:textId="0C1D7EC7">
            <w:pPr>
              <w:spacing w:after="0"/>
              <w:jc w:val="center"/>
            </w:pPr>
            <w:r w:rsidRPr="50D7E19C">
              <w:rPr>
                <w:b/>
                <w:bCs/>
              </w:rPr>
              <w:t>Dose &amp; schedule</w:t>
            </w:r>
          </w:p>
        </w:tc>
        <w:tc>
          <w:tcPr>
            <w:tcW w:w="4595" w:type="dxa"/>
            <w:tcMar/>
            <w:vAlign w:val="center"/>
          </w:tcPr>
          <w:p w:rsidR="50D7E19C" w:rsidP="50D7E19C" w:rsidRDefault="50D7E19C" w14:paraId="15599CA1" w14:textId="640D10D6">
            <w:pPr>
              <w:spacing w:after="0"/>
              <w:jc w:val="center"/>
            </w:pPr>
            <w:r w:rsidRPr="50D7E19C">
              <w:rPr>
                <w:b/>
                <w:bCs/>
              </w:rPr>
              <w:t>Practical pearls</w:t>
            </w:r>
          </w:p>
        </w:tc>
        <w:tc>
          <w:tcPr>
            <w:tcW w:w="652" w:type="dxa"/>
            <w:tcMar/>
            <w:vAlign w:val="center"/>
          </w:tcPr>
          <w:p w:rsidR="50D7E19C" w:rsidP="50D7E19C" w:rsidRDefault="50D7E19C" w14:paraId="46FCBF50" w14:textId="02334890">
            <w:pPr>
              <w:spacing w:after="0"/>
              <w:jc w:val="center"/>
            </w:pPr>
            <w:r w:rsidRPr="50D7E19C">
              <w:rPr>
                <w:b/>
                <w:bCs/>
              </w:rPr>
              <w:t>GRADE</w:t>
            </w:r>
          </w:p>
        </w:tc>
      </w:tr>
      <w:tr w:rsidR="50D7E19C" w:rsidTr="3B7D3AA6" w14:paraId="6DEFC9B9" w14:textId="77777777">
        <w:trPr>
          <w:trHeight w:val="300"/>
        </w:trPr>
        <w:tc>
          <w:tcPr>
            <w:tcW w:w="1639" w:type="dxa"/>
            <w:tcMar/>
            <w:vAlign w:val="center"/>
          </w:tcPr>
          <w:p w:rsidR="50D7E19C" w:rsidP="50D7E19C" w:rsidRDefault="50D7E19C" w14:paraId="13B4B8BB" w14:textId="7F9AC077">
            <w:pPr>
              <w:spacing w:after="0"/>
            </w:pPr>
            <w:r w:rsidRPr="50D7E19C">
              <w:rPr>
                <w:b/>
                <w:bCs/>
              </w:rPr>
              <w:t>Permethrin 5 % cream</w:t>
            </w:r>
          </w:p>
        </w:tc>
        <w:tc>
          <w:tcPr>
            <w:tcW w:w="3696" w:type="dxa"/>
            <w:tcMar/>
            <w:vAlign w:val="center"/>
          </w:tcPr>
          <w:p w:rsidR="50D7E19C" w:rsidP="50D7E19C" w:rsidRDefault="50D7E19C" w14:paraId="3E595E34" w14:textId="0401AA26">
            <w:pPr>
              <w:spacing w:after="0"/>
            </w:pPr>
            <w:r>
              <w:t>Whole‑body incl. neck, face, scalp, nails; 12 h; repeat Day 8–15</w:t>
            </w:r>
          </w:p>
        </w:tc>
        <w:tc>
          <w:tcPr>
            <w:tcW w:w="4595" w:type="dxa"/>
            <w:tcMar/>
            <w:vAlign w:val="center"/>
          </w:tcPr>
          <w:p w:rsidR="50D7E19C" w:rsidP="50D7E19C" w:rsidRDefault="50D7E19C" w14:paraId="04914497" w14:textId="41B5D163">
            <w:pPr>
              <w:spacing w:after="0"/>
            </w:pPr>
            <w:r>
              <w:t>Apply on cool skin, re‑apply after washing, up to 60 g; assistance for back.</w:t>
            </w:r>
          </w:p>
        </w:tc>
        <w:tc>
          <w:tcPr>
            <w:tcW w:w="652" w:type="dxa"/>
            <w:tcMar/>
            <w:vAlign w:val="center"/>
          </w:tcPr>
          <w:p w:rsidR="50D7E19C" w:rsidP="50D7E19C" w:rsidRDefault="50D7E19C" w14:paraId="0BC21DBD" w14:textId="22A95EC0">
            <w:pPr>
              <w:spacing w:after="0"/>
            </w:pPr>
            <w:r>
              <w:t>1A</w:t>
            </w:r>
          </w:p>
        </w:tc>
      </w:tr>
      <w:tr w:rsidR="50D7E19C" w:rsidTr="3B7D3AA6" w14:paraId="34B04B21" w14:textId="77777777">
        <w:trPr>
          <w:trHeight w:val="300"/>
        </w:trPr>
        <w:tc>
          <w:tcPr>
            <w:tcW w:w="1639" w:type="dxa"/>
            <w:tcMar/>
            <w:vAlign w:val="center"/>
          </w:tcPr>
          <w:p w:rsidR="50D7E19C" w:rsidP="50D7E19C" w:rsidRDefault="50D7E19C" w14:paraId="65503CAA" w14:textId="3D39CA21">
            <w:pPr>
              <w:spacing w:after="0"/>
            </w:pPr>
            <w:r w:rsidRPr="50D7E19C">
              <w:rPr>
                <w:b/>
                <w:bCs/>
              </w:rPr>
              <w:t>Ivermectin PO 200 µg kg‑1</w:t>
            </w:r>
          </w:p>
        </w:tc>
        <w:tc>
          <w:tcPr>
            <w:tcW w:w="3696" w:type="dxa"/>
            <w:tcMar/>
            <w:vAlign w:val="center"/>
          </w:tcPr>
          <w:p w:rsidR="50D7E19C" w:rsidP="50D7E19C" w:rsidRDefault="50D7E19C" w14:paraId="0673E9AC" w14:textId="29B6F4FC">
            <w:pPr>
              <w:spacing w:after="0"/>
            </w:pPr>
            <w:r>
              <w:t>Day 1 &amp; 8 (≤ 15); round up to 3 mg tabs; take with food</w:t>
            </w:r>
          </w:p>
        </w:tc>
        <w:tc>
          <w:tcPr>
            <w:tcW w:w="4595" w:type="dxa"/>
            <w:tcMar/>
            <w:vAlign w:val="center"/>
          </w:tcPr>
          <w:p w:rsidR="50D7E19C" w:rsidP="50D7E19C" w:rsidRDefault="50D7E19C" w14:paraId="233C38E5" w14:textId="2A86FCF8">
            <w:pPr>
              <w:spacing w:after="0"/>
            </w:pPr>
            <w:r>
              <w:t xml:space="preserve">Licensed ≥ 15 kg; non‑ovicidal ⇒ second dose vital; safe up to 120 mg in trials. </w:t>
            </w:r>
          </w:p>
        </w:tc>
        <w:tc>
          <w:tcPr>
            <w:tcW w:w="652" w:type="dxa"/>
            <w:tcMar/>
            <w:vAlign w:val="center"/>
          </w:tcPr>
          <w:p w:rsidR="50D7E19C" w:rsidP="50D7E19C" w:rsidRDefault="50D7E19C" w14:paraId="299E6F01" w14:textId="4284727C">
            <w:pPr>
              <w:spacing w:after="0"/>
            </w:pPr>
            <w:r>
              <w:t>1A</w:t>
            </w:r>
          </w:p>
        </w:tc>
      </w:tr>
    </w:tbl>
    <w:p w:rsidR="00832A20" w:rsidP="50D7E19C" w:rsidRDefault="66763DF6" w14:paraId="7804BFA7" w14:textId="7681BB24">
      <w:pPr>
        <w:spacing w:before="240" w:after="240"/>
      </w:pPr>
      <w:r w:rsidRPr="50D7E19C">
        <w:rPr>
          <w:rFonts w:ascii="Aptos" w:hAnsi="Aptos" w:eastAsia="Aptos" w:cs="Aptos"/>
        </w:rPr>
        <w:t xml:space="preserve">Both regimens show similar efficacy in network meta‑analysis. </w:t>
      </w:r>
    </w:p>
    <w:p w:rsidR="00832A20" w:rsidP="50D7E19C" w:rsidRDefault="66763DF6" w14:paraId="4031A9FA" w14:textId="464A5331">
      <w:pPr>
        <w:pStyle w:val="Heading4"/>
        <w:spacing w:before="319" w:after="319"/>
      </w:pPr>
      <w:r w:rsidRPr="50D7E19C">
        <w:rPr>
          <w:rFonts w:ascii="Aptos" w:hAnsi="Aptos" w:eastAsia="Aptos" w:cs="Aptos"/>
          <w:b/>
          <w:bCs/>
        </w:rPr>
        <w:t>7.3 Alternatives</w:t>
      </w:r>
    </w:p>
    <w:p w:rsidR="00832A20" w:rsidP="50D7E19C" w:rsidRDefault="66763DF6" w14:paraId="5BB338F6" w14:textId="3785D8B7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Malathion 0.5 % aqueous</w:t>
      </w:r>
      <w:r w:rsidRPr="50D7E19C">
        <w:rPr>
          <w:rFonts w:ascii="Aptos" w:hAnsi="Aptos" w:eastAsia="Aptos" w:cs="Aptos"/>
        </w:rPr>
        <w:t xml:space="preserve"> – Day 1 &amp; 8; 24 h contact time (Grade 1D). </w:t>
      </w:r>
    </w:p>
    <w:p w:rsidR="00832A20" w:rsidP="50D7E19C" w:rsidRDefault="66763DF6" w14:paraId="3282B168" w14:textId="260A91C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Benzyl‑benzoate 25 %</w:t>
      </w:r>
      <w:r w:rsidRPr="50D7E19C">
        <w:rPr>
          <w:rFonts w:ascii="Aptos" w:hAnsi="Aptos" w:eastAsia="Aptos" w:cs="Aptos"/>
        </w:rPr>
        <w:t xml:space="preserve"> – two consecutive nightly applications; irritant; unlicensed UK (Grade 2B). </w:t>
      </w:r>
    </w:p>
    <w:p w:rsidR="00832A20" w:rsidP="50D7E19C" w:rsidRDefault="66763DF6" w14:paraId="3ADCFB37" w14:textId="4AFBE4D4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Topical ivermectin 1 %, sulphur 5 %, </w:t>
      </w:r>
      <w:proofErr w:type="spellStart"/>
      <w:r w:rsidRPr="50D7E19C">
        <w:rPr>
          <w:rFonts w:ascii="Aptos" w:hAnsi="Aptos" w:eastAsia="Aptos" w:cs="Aptos"/>
        </w:rPr>
        <w:t>spinosad</w:t>
      </w:r>
      <w:proofErr w:type="spellEnd"/>
      <w:r w:rsidRPr="50D7E19C">
        <w:rPr>
          <w:rFonts w:ascii="Aptos" w:hAnsi="Aptos" w:eastAsia="Aptos" w:cs="Aptos"/>
        </w:rPr>
        <w:t xml:space="preserve"> 0.9 % – limited evidence only. </w:t>
      </w:r>
    </w:p>
    <w:p w:rsidR="00832A20" w:rsidP="50D7E19C" w:rsidRDefault="66763DF6" w14:paraId="262E06DC" w14:textId="35BA66DF">
      <w:pPr>
        <w:pStyle w:val="Heading4"/>
        <w:spacing w:before="319" w:after="319"/>
      </w:pPr>
      <w:r w:rsidRPr="50D7E19C">
        <w:rPr>
          <w:rFonts w:ascii="Aptos" w:hAnsi="Aptos" w:eastAsia="Aptos" w:cs="Aptos"/>
          <w:b/>
          <w:bCs/>
        </w:rPr>
        <w:t>7.4 Crusted scabies</w:t>
      </w:r>
    </w:p>
    <w:p w:rsidR="00832A20" w:rsidP="50D7E19C" w:rsidRDefault="66763DF6" w14:paraId="706C5151" w14:textId="3F65E12A">
      <w:pPr>
        <w:spacing w:before="240" w:after="240"/>
      </w:pPr>
      <w:r w:rsidRPr="50D7E19C">
        <w:rPr>
          <w:rFonts w:ascii="Aptos" w:hAnsi="Aptos" w:eastAsia="Aptos" w:cs="Aptos"/>
        </w:rPr>
        <w:t xml:space="preserve">Combine oral ivermectin (3/5/7‑dose schedule) </w:t>
      </w:r>
      <w:r w:rsidRPr="50D7E19C">
        <w:rPr>
          <w:rFonts w:ascii="Aptos" w:hAnsi="Aptos" w:eastAsia="Aptos" w:cs="Aptos"/>
          <w:b/>
          <w:bCs/>
        </w:rPr>
        <w:t>plus</w:t>
      </w:r>
      <w:r w:rsidRPr="50D7E19C">
        <w:rPr>
          <w:rFonts w:ascii="Aptos" w:hAnsi="Aptos" w:eastAsia="Aptos" w:cs="Aptos"/>
        </w:rPr>
        <w:t xml:space="preserve"> topical permethrin (daily or alt‑day) </w:t>
      </w:r>
      <w:r w:rsidRPr="50D7E19C">
        <w:rPr>
          <w:rFonts w:ascii="Aptos" w:hAnsi="Aptos" w:eastAsia="Aptos" w:cs="Aptos"/>
          <w:b/>
          <w:bCs/>
        </w:rPr>
        <w:t>±</w:t>
      </w:r>
      <w:r w:rsidRPr="50D7E19C">
        <w:rPr>
          <w:rFonts w:ascii="Aptos" w:hAnsi="Aptos" w:eastAsia="Aptos" w:cs="Aptos"/>
        </w:rPr>
        <w:t xml:space="preserve"> keratolytic; decontaminate environment thoroughly; manage secondary sepsis aggressively. </w:t>
      </w:r>
    </w:p>
    <w:p w:rsidR="00832A20" w:rsidP="50D7E19C" w:rsidRDefault="66763DF6" w14:paraId="5F0B7D14" w14:textId="28563A88">
      <w:pPr>
        <w:pStyle w:val="Heading4"/>
        <w:spacing w:before="319" w:after="319"/>
      </w:pPr>
      <w:r w:rsidRPr="50D7E19C">
        <w:rPr>
          <w:rFonts w:ascii="Aptos" w:hAnsi="Aptos" w:eastAsia="Aptos" w:cs="Aptos"/>
          <w:b/>
          <w:bCs/>
        </w:rPr>
        <w:t>7.5 Special situations</w:t>
      </w:r>
    </w:p>
    <w:p w:rsidR="00832A20" w:rsidP="50D7E19C" w:rsidRDefault="66763DF6" w14:paraId="3AB0B5BE" w14:textId="48735DED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Pregnancy / breastfeeding:</w:t>
      </w:r>
      <w:r w:rsidRPr="50D7E19C">
        <w:rPr>
          <w:rFonts w:ascii="Aptos" w:hAnsi="Aptos" w:eastAsia="Aptos" w:cs="Aptos"/>
        </w:rPr>
        <w:t xml:space="preserve"> avoid ivermectin; use permethrin first‑line, malathion second. </w:t>
      </w:r>
    </w:p>
    <w:p w:rsidR="00832A20" w:rsidP="50D7E19C" w:rsidRDefault="66763DF6" w14:paraId="536BF1F7" w14:textId="2C995621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HIV:</w:t>
      </w:r>
      <w:r w:rsidRPr="50D7E19C">
        <w:rPr>
          <w:rFonts w:ascii="Aptos" w:hAnsi="Aptos" w:eastAsia="Aptos" w:cs="Aptos"/>
        </w:rPr>
        <w:t xml:space="preserve"> treat as immunocompetent unless crusted. </w:t>
      </w:r>
    </w:p>
    <w:p w:rsidR="00832A20" w:rsidP="50D7E19C" w:rsidRDefault="66763DF6" w14:paraId="0DCBFB65" w14:textId="20E9F263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Heavy weight (&gt;120 kg):</w:t>
      </w:r>
      <w:r w:rsidRPr="50D7E19C">
        <w:rPr>
          <w:rFonts w:ascii="Aptos" w:hAnsi="Aptos" w:eastAsia="Aptos" w:cs="Aptos"/>
        </w:rPr>
        <w:t xml:space="preserve"> linear PK but consider expert dosing advice. </w:t>
      </w:r>
    </w:p>
    <w:p w:rsidR="00832A20" w:rsidRDefault="00832A20" w14:paraId="751CC8B4" w14:textId="11CDE589"/>
    <w:p w:rsidR="00832A20" w:rsidP="50D7E19C" w:rsidRDefault="66763DF6" w14:paraId="434A0A5A" w14:textId="49C2239C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8. Reactions, follow‑up &amp; treatment failure</w:t>
      </w:r>
    </w:p>
    <w:p w:rsidR="00832A20" w:rsidP="50D7E19C" w:rsidRDefault="66763DF6" w14:paraId="7EA735B9" w14:textId="7341F4FD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Adverse events:</w:t>
      </w:r>
      <w:r w:rsidRPr="50D7E19C">
        <w:rPr>
          <w:rFonts w:ascii="Aptos" w:hAnsi="Aptos" w:eastAsia="Aptos" w:cs="Aptos"/>
        </w:rPr>
        <w:t xml:space="preserve"> permethrin – transient paraesthesia; ivermectin – neuro AE rare (overall AE 5 % vs 4 %).</w:t>
      </w:r>
    </w:p>
    <w:p w:rsidR="00832A20" w:rsidP="50D7E19C" w:rsidRDefault="66763DF6" w14:paraId="777D85C2" w14:textId="1558831A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Follow‑up:</w:t>
      </w:r>
      <w:r w:rsidRPr="50D7E19C">
        <w:rPr>
          <w:rFonts w:ascii="Aptos" w:hAnsi="Aptos" w:eastAsia="Aptos" w:cs="Aptos"/>
        </w:rPr>
        <w:t xml:space="preserve"> face‑to‑face review at 4–6 w to check cure &amp; reinforce hygiene. New burrows ≥ 7 d post‑treatment ⇒ retreat. </w:t>
      </w:r>
    </w:p>
    <w:p w:rsidR="00832A20" w:rsidP="50D7E19C" w:rsidRDefault="66763DF6" w14:paraId="6862FA3E" w14:textId="1D07A4C4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Post‑</w:t>
      </w:r>
      <w:proofErr w:type="spellStart"/>
      <w:r w:rsidRPr="50D7E19C">
        <w:rPr>
          <w:rFonts w:ascii="Aptos" w:hAnsi="Aptos" w:eastAsia="Aptos" w:cs="Aptos"/>
          <w:b/>
          <w:bCs/>
        </w:rPr>
        <w:t>scabetic</w:t>
      </w:r>
      <w:proofErr w:type="spellEnd"/>
      <w:r w:rsidRPr="50D7E19C">
        <w:rPr>
          <w:rFonts w:ascii="Aptos" w:hAnsi="Aptos" w:eastAsia="Aptos" w:cs="Aptos"/>
          <w:b/>
          <w:bCs/>
        </w:rPr>
        <w:t xml:space="preserve"> </w:t>
      </w:r>
      <w:proofErr w:type="gramStart"/>
      <w:r w:rsidRPr="50D7E19C">
        <w:rPr>
          <w:rFonts w:ascii="Aptos" w:hAnsi="Aptos" w:eastAsia="Aptos" w:cs="Aptos"/>
          <w:b/>
          <w:bCs/>
        </w:rPr>
        <w:t>itch:</w:t>
      </w:r>
      <w:proofErr w:type="gramEnd"/>
      <w:r w:rsidRPr="50D7E19C">
        <w:rPr>
          <w:rFonts w:ascii="Aptos" w:hAnsi="Aptos" w:eastAsia="Aptos" w:cs="Aptos"/>
        </w:rPr>
        <w:t xml:space="preserve"> persists &gt; 4 w in 1/3; treat with emollient, crotamiton, potent steroid, sedating antihistamine; refer stubborn nodules.</w:t>
      </w:r>
    </w:p>
    <w:p w:rsidR="00832A20" w:rsidP="50D7E19C" w:rsidRDefault="66763DF6" w14:paraId="3C4086F2" w14:textId="73C85BE2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Treatment failure algorithm:</w:t>
      </w:r>
      <w:r w:rsidRPr="50D7E19C">
        <w:rPr>
          <w:rFonts w:ascii="Aptos" w:hAnsi="Aptos" w:eastAsia="Aptos" w:cs="Aptos"/>
        </w:rPr>
        <w:t xml:space="preserve"> exclude mis‑diagnosis, poor application, reinfestation, immunosuppression; consider supervised combination therapy (ivermectin + permethrin/malathion/BB) for genuine failure.</w:t>
      </w:r>
    </w:p>
    <w:p w:rsidR="00832A20" w:rsidRDefault="00832A20" w14:paraId="55500E5B" w14:textId="12954368"/>
    <w:p w:rsidR="00832A20" w:rsidP="50D7E19C" w:rsidRDefault="66763DF6" w14:paraId="73A97A8B" w14:textId="7371AB86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9. Public‑health &amp; audit essentials</w:t>
      </w:r>
    </w:p>
    <w:p w:rsidR="00832A20" w:rsidP="50D7E19C" w:rsidRDefault="66763DF6" w14:paraId="65D88E8D" w14:textId="7FCF89B2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Notify </w:t>
      </w:r>
      <w:r w:rsidRPr="50D7E19C">
        <w:rPr>
          <w:rFonts w:ascii="Aptos" w:hAnsi="Aptos" w:eastAsia="Aptos" w:cs="Aptos"/>
          <w:b/>
          <w:bCs/>
        </w:rPr>
        <w:t>UK HSA Health Protection Team</w:t>
      </w:r>
      <w:r w:rsidRPr="50D7E19C">
        <w:rPr>
          <w:rFonts w:ascii="Aptos" w:hAnsi="Aptos" w:eastAsia="Aptos" w:cs="Aptos"/>
        </w:rPr>
        <w:t xml:space="preserve"> if ≥ 2 linked cases in a closed setting within 8 w; mass, co‑ordinated treatment is key.</w:t>
      </w:r>
    </w:p>
    <w:p w:rsidR="00832A20" w:rsidP="50D7E19C" w:rsidRDefault="66763DF6" w14:paraId="3F66C5C2" w14:textId="75595C8B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Audit standards (95 %):</w:t>
      </w:r>
      <w:r w:rsidRPr="50D7E19C">
        <w:rPr>
          <w:rFonts w:ascii="Aptos" w:hAnsi="Aptos" w:eastAsia="Aptos" w:cs="Aptos"/>
        </w:rPr>
        <w:t xml:space="preserve"> (</w:t>
      </w:r>
      <w:proofErr w:type="spellStart"/>
      <w:r w:rsidRPr="50D7E19C">
        <w:rPr>
          <w:rFonts w:ascii="Aptos" w:hAnsi="Aptos" w:eastAsia="Aptos" w:cs="Aptos"/>
        </w:rPr>
        <w:t>i</w:t>
      </w:r>
      <w:proofErr w:type="spellEnd"/>
      <w:r w:rsidRPr="50D7E19C">
        <w:rPr>
          <w:rFonts w:ascii="Aptos" w:hAnsi="Aptos" w:eastAsia="Aptos" w:cs="Aptos"/>
        </w:rPr>
        <w:t xml:space="preserve">) correct diagnostic code, (ii) two‑dose first‑line regimen, (iii) written patient info, (iv) STI screen if sexual transmission suspected. </w:t>
      </w:r>
    </w:p>
    <w:p w:rsidR="00832A20" w:rsidRDefault="00832A20" w14:paraId="7A9233F1" w14:textId="36BEC473"/>
    <w:p w:rsidR="00832A20" w:rsidP="50D7E19C" w:rsidRDefault="66763DF6" w14:paraId="47FCAC37" w14:textId="30856ABF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10. Research &amp; exam talking points</w:t>
      </w:r>
    </w:p>
    <w:p w:rsidR="00832A20" w:rsidP="50D7E19C" w:rsidRDefault="66763DF6" w14:paraId="711826CD" w14:textId="4DE46482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No standard definition of treatment failure – need better outcome measures &amp; PCR diagnostics. </w:t>
      </w:r>
    </w:p>
    <w:p w:rsidR="00832A20" w:rsidP="50D7E19C" w:rsidRDefault="66763DF6" w14:paraId="134FDA83" w14:textId="28FB76B3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 xml:space="preserve">Drug‑resistance remains unproven clinically, but lab markers </w:t>
      </w:r>
      <w:proofErr w:type="gramStart"/>
      <w:r w:rsidRPr="50D7E19C">
        <w:rPr>
          <w:rFonts w:ascii="Aptos" w:hAnsi="Aptos" w:eastAsia="Aptos" w:cs="Aptos"/>
        </w:rPr>
        <w:t>emerging;</w:t>
      </w:r>
      <w:proofErr w:type="gramEnd"/>
      <w:r w:rsidRPr="50D7E19C">
        <w:rPr>
          <w:rFonts w:ascii="Aptos" w:hAnsi="Aptos" w:eastAsia="Aptos" w:cs="Aptos"/>
        </w:rPr>
        <w:t xml:space="preserve"> mention in viva. </w:t>
      </w:r>
    </w:p>
    <w:p w:rsidR="00832A20" w:rsidRDefault="00832A20" w14:paraId="502D7A64" w14:textId="06009EFE"/>
    <w:p w:rsidR="00832A20" w:rsidP="50D7E19C" w:rsidRDefault="66763DF6" w14:paraId="3197FE7B" w14:textId="234E4408">
      <w:pPr>
        <w:pStyle w:val="Heading3"/>
        <w:spacing w:before="281" w:after="281"/>
      </w:pPr>
      <w:r w:rsidRPr="50D7E19C">
        <w:rPr>
          <w:rFonts w:ascii="Aptos" w:hAnsi="Aptos" w:eastAsia="Aptos" w:cs="Aptos"/>
          <w:b/>
          <w:bCs/>
        </w:rPr>
        <w:t>11. Exam‑day memory hooks</w:t>
      </w:r>
    </w:p>
    <w:p w:rsidR="00832A20" w:rsidP="50D7E19C" w:rsidRDefault="66763DF6" w14:paraId="1C605579" w14:textId="29D301D1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“P‑I‑2‑14”</w:t>
      </w:r>
      <w:r w:rsidRPr="50D7E19C">
        <w:rPr>
          <w:rFonts w:ascii="Aptos" w:hAnsi="Aptos" w:eastAsia="Aptos" w:cs="Aptos"/>
        </w:rPr>
        <w:t xml:space="preserve"> – Permethrin or Ivermectin; always </w:t>
      </w:r>
      <w:r w:rsidRPr="50D7E19C">
        <w:rPr>
          <w:rFonts w:ascii="Aptos" w:hAnsi="Aptos" w:eastAsia="Aptos" w:cs="Aptos"/>
          <w:b/>
          <w:bCs/>
        </w:rPr>
        <w:t>2</w:t>
      </w:r>
      <w:r w:rsidRPr="50D7E19C">
        <w:rPr>
          <w:rFonts w:ascii="Aptos" w:hAnsi="Aptos" w:eastAsia="Aptos" w:cs="Aptos"/>
        </w:rPr>
        <w:t xml:space="preserve"> doses </w:t>
      </w:r>
      <w:r w:rsidRPr="50D7E19C">
        <w:rPr>
          <w:rFonts w:ascii="Aptos" w:hAnsi="Aptos" w:eastAsia="Aptos" w:cs="Aptos"/>
          <w:b/>
          <w:bCs/>
        </w:rPr>
        <w:t>7–14 d</w:t>
      </w:r>
      <w:r w:rsidRPr="50D7E19C">
        <w:rPr>
          <w:rFonts w:ascii="Aptos" w:hAnsi="Aptos" w:eastAsia="Aptos" w:cs="Aptos"/>
        </w:rPr>
        <w:t xml:space="preserve"> apart.</w:t>
      </w:r>
    </w:p>
    <w:p w:rsidR="00832A20" w:rsidP="50D7E19C" w:rsidRDefault="66763DF6" w14:paraId="094A57C2" w14:textId="57EEB330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“50 for 50”</w:t>
      </w:r>
      <w:r w:rsidRPr="50D7E19C">
        <w:rPr>
          <w:rFonts w:ascii="Aptos" w:hAnsi="Aptos" w:eastAsia="Aptos" w:cs="Aptos"/>
        </w:rPr>
        <w:t xml:space="preserve"> – 50 °C for 35 min kills mites/eggs.</w:t>
      </w:r>
    </w:p>
    <w:p w:rsidR="00832A20" w:rsidP="50D7E19C" w:rsidRDefault="66763DF6" w14:paraId="3807B96E" w14:textId="178A7D64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“Head &amp; neck in &gt; 65 y”</w:t>
      </w:r>
      <w:r w:rsidRPr="50D7E19C">
        <w:rPr>
          <w:rFonts w:ascii="Aptos" w:hAnsi="Aptos" w:eastAsia="Aptos" w:cs="Aptos"/>
        </w:rPr>
        <w:t xml:space="preserve"> – don’t forget scalp coverage.</w:t>
      </w:r>
    </w:p>
    <w:p w:rsidR="00832A20" w:rsidP="50D7E19C" w:rsidRDefault="66763DF6" w14:paraId="00FE6F28" w14:textId="1B709799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  <w:b/>
          <w:bCs/>
        </w:rPr>
        <w:t>Post‑itch lasts “52 d”</w:t>
      </w:r>
      <w:r w:rsidRPr="50D7E19C">
        <w:rPr>
          <w:rFonts w:ascii="Aptos" w:hAnsi="Aptos" w:eastAsia="Aptos" w:cs="Aptos"/>
        </w:rPr>
        <w:t xml:space="preserve"> – counsel patients.</w:t>
      </w:r>
    </w:p>
    <w:p w:rsidR="00832A20" w:rsidP="50D7E19C" w:rsidRDefault="66763DF6" w14:paraId="13FDC3F4" w14:textId="759F9592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50D7E19C">
        <w:rPr>
          <w:rFonts w:ascii="Aptos" w:hAnsi="Aptos" w:eastAsia="Aptos" w:cs="Aptos"/>
        </w:rPr>
        <w:t>Quote IACS criteria &amp; adhesive‑tape microscopy for OSPE.</w:t>
      </w:r>
    </w:p>
    <w:p w:rsidR="00832A20" w:rsidP="50D7E19C" w:rsidRDefault="66763DF6" w14:paraId="3386F4DB" w14:textId="12A79221">
      <w:pPr>
        <w:spacing w:before="240" w:after="240"/>
      </w:pPr>
      <w:r w:rsidRPr="50D7E19C">
        <w:rPr>
          <w:rFonts w:ascii="Aptos" w:hAnsi="Aptos" w:eastAsia="Aptos" w:cs="Aptos"/>
        </w:rPr>
        <w:t xml:space="preserve">Use this streamlined yet comprehensive crib‑sheet for quick recall in </w:t>
      </w:r>
      <w:proofErr w:type="spellStart"/>
      <w:r w:rsidRPr="50D7E19C">
        <w:rPr>
          <w:rFonts w:ascii="Aptos" w:hAnsi="Aptos" w:eastAsia="Aptos" w:cs="Aptos"/>
        </w:rPr>
        <w:t>FRCPath</w:t>
      </w:r>
      <w:proofErr w:type="spellEnd"/>
      <w:r w:rsidRPr="50D7E19C">
        <w:rPr>
          <w:rFonts w:ascii="Aptos" w:hAnsi="Aptos" w:eastAsia="Aptos" w:cs="Aptos"/>
        </w:rPr>
        <w:t xml:space="preserve"> Part 2 viva/written stations. Good luck!</w:t>
      </w:r>
    </w:p>
    <w:p w:rsidR="00832A20" w:rsidRDefault="00832A20" w14:paraId="5E5787A5" w14:textId="64990FB2"/>
    <w:sectPr w:rsidR="00832A2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BA78"/>
    <w:multiLevelType w:val="hybridMultilevel"/>
    <w:tmpl w:val="FFFFFFFF"/>
    <w:lvl w:ilvl="0" w:tplc="63D68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ACB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65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BC54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3CCA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A2CA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4D3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BAE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EF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65FCD"/>
    <w:multiLevelType w:val="hybridMultilevel"/>
    <w:tmpl w:val="FFFFFFFF"/>
    <w:lvl w:ilvl="0" w:tplc="D17ADF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445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D443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1AC3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6EF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ACB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F8B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3662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EFE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6EE329"/>
    <w:multiLevelType w:val="hybridMultilevel"/>
    <w:tmpl w:val="FFFFFFFF"/>
    <w:lvl w:ilvl="0" w:tplc="4FECA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4C70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1CD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A9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21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C4B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1A79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7E82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7092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D745BC"/>
    <w:multiLevelType w:val="hybridMultilevel"/>
    <w:tmpl w:val="FFFFFFFF"/>
    <w:lvl w:ilvl="0" w:tplc="B14A0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A0B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B091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44B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EEFF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42B1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0CB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CC8F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02CF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FA577F"/>
    <w:multiLevelType w:val="hybridMultilevel"/>
    <w:tmpl w:val="FFFFFFFF"/>
    <w:lvl w:ilvl="0" w:tplc="B92C8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4CC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6AC6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78B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684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1A7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82A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65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4AF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79E375"/>
    <w:multiLevelType w:val="hybridMultilevel"/>
    <w:tmpl w:val="FFFFFFFF"/>
    <w:lvl w:ilvl="0" w:tplc="1D6C43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B63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BCE6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0AF1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CE3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24A1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F85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7A6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D8A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1260F2"/>
    <w:multiLevelType w:val="hybridMultilevel"/>
    <w:tmpl w:val="FFFFFFFF"/>
    <w:lvl w:ilvl="0" w:tplc="5F107A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AE8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F26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45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461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1620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DE1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BC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40D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F3BCCA"/>
    <w:multiLevelType w:val="hybridMultilevel"/>
    <w:tmpl w:val="FFFFFFFF"/>
    <w:lvl w:ilvl="0" w:tplc="4F1EB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12C7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3485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3C3D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7A23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EA00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DAA1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90C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A8C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70F924"/>
    <w:multiLevelType w:val="hybridMultilevel"/>
    <w:tmpl w:val="FFFFFFFF"/>
    <w:lvl w:ilvl="0" w:tplc="1D5486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321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824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660B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4888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540C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4CC9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E6A8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50F0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90C99C"/>
    <w:multiLevelType w:val="hybridMultilevel"/>
    <w:tmpl w:val="FFFFFFFF"/>
    <w:lvl w:ilvl="0" w:tplc="74205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6040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0CA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6F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3E96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8428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56C6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94F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7055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2A171B"/>
    <w:multiLevelType w:val="hybridMultilevel"/>
    <w:tmpl w:val="3E50FF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5885908">
    <w:abstractNumId w:val="3"/>
  </w:num>
  <w:num w:numId="2" w16cid:durableId="1792623375">
    <w:abstractNumId w:val="6"/>
  </w:num>
  <w:num w:numId="3" w16cid:durableId="1974477145">
    <w:abstractNumId w:val="4"/>
  </w:num>
  <w:num w:numId="4" w16cid:durableId="2123722909">
    <w:abstractNumId w:val="0"/>
  </w:num>
  <w:num w:numId="5" w16cid:durableId="283582761">
    <w:abstractNumId w:val="5"/>
  </w:num>
  <w:num w:numId="6" w16cid:durableId="302737747">
    <w:abstractNumId w:val="2"/>
  </w:num>
  <w:num w:numId="7" w16cid:durableId="410278643">
    <w:abstractNumId w:val="8"/>
  </w:num>
  <w:num w:numId="8" w16cid:durableId="499467145">
    <w:abstractNumId w:val="7"/>
  </w:num>
  <w:num w:numId="9" w16cid:durableId="564532393">
    <w:abstractNumId w:val="9"/>
  </w:num>
  <w:num w:numId="10" w16cid:durableId="93522653">
    <w:abstractNumId w:val="1"/>
  </w:num>
  <w:num w:numId="11" w16cid:durableId="20788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A4408"/>
    <w:rsid w:val="00034624"/>
    <w:rsid w:val="00526EEA"/>
    <w:rsid w:val="00713E54"/>
    <w:rsid w:val="00755BB8"/>
    <w:rsid w:val="007835B0"/>
    <w:rsid w:val="007D5995"/>
    <w:rsid w:val="007E5E7A"/>
    <w:rsid w:val="00832A20"/>
    <w:rsid w:val="008443C6"/>
    <w:rsid w:val="008736A6"/>
    <w:rsid w:val="009236B4"/>
    <w:rsid w:val="00960434"/>
    <w:rsid w:val="00C4231A"/>
    <w:rsid w:val="00CF055F"/>
    <w:rsid w:val="00E20505"/>
    <w:rsid w:val="00E34976"/>
    <w:rsid w:val="00EC027E"/>
    <w:rsid w:val="00F54A34"/>
    <w:rsid w:val="3B7D3AA6"/>
    <w:rsid w:val="410557FD"/>
    <w:rsid w:val="50D7E19C"/>
    <w:rsid w:val="546A4408"/>
    <w:rsid w:val="5812689C"/>
    <w:rsid w:val="628A226B"/>
    <w:rsid w:val="66763DF6"/>
    <w:rsid w:val="6DC6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408"/>
  <w15:chartTrackingRefBased/>
  <w15:docId w15:val="{C6264316-79F7-46C5-B829-CBBD868F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50D7E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50D7E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0D7E19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ing1">
    <w:uiPriority w:val="9"/>
    <w:name w:val="heading 1"/>
    <w:basedOn w:val="Normal"/>
    <w:next w:val="Normal"/>
    <w:qFormat/>
    <w:rsid w:val="5812689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23</revision>
  <dcterms:created xsi:type="dcterms:W3CDTF">2025-07-22T14:40:00.0000000Z</dcterms:created>
  <dcterms:modified xsi:type="dcterms:W3CDTF">2025-10-07T08:07:32.9639605Z</dcterms:modified>
</coreProperties>
</file>