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10E38692" w:rsidP="5FDD1A88" w:rsidRDefault="10E38692" w14:paraId="35AB7FB3" w14:textId="256F00FE">
      <w:pPr>
        <w:pStyle w:val="Heading1"/>
        <w:rPr>
          <w:rFonts w:ascii="Aptos" w:hAnsi="Aptos" w:eastAsia="Aptos" w:cs="Aptos"/>
          <w:b w:val="1"/>
          <w:bCs w:val="1"/>
        </w:rPr>
      </w:pPr>
      <w:r w:rsidR="10E38692">
        <w:rPr/>
        <w:t xml:space="preserve">Syphilis </w:t>
      </w:r>
    </w:p>
    <w:p w:rsidR="10E38692" w:rsidP="5FDD1A88" w:rsidRDefault="10E38692" w14:paraId="56E52013" w14:textId="04B455CE">
      <w:pPr>
        <w:pStyle w:val="Heading1"/>
        <w:rPr>
          <w:rFonts w:ascii="Aptos" w:hAnsi="Aptos" w:eastAsia="Aptos" w:cs="Aptos"/>
          <w:b w:val="1"/>
          <w:bCs w:val="1"/>
        </w:rPr>
      </w:pPr>
      <w:r w:rsidR="10E38692">
        <w:rPr/>
        <w:t>BASHH 2024</w:t>
      </w:r>
    </w:p>
    <w:p w:rsidR="27FB5717" w:rsidRDefault="27FB5717" w14:paraId="2987A5EC" w14:textId="49E049BA"/>
    <w:p w:rsidR="10E38692" w:rsidP="27FB5717" w:rsidRDefault="10E38692" w14:paraId="7D422AFB" w14:textId="3A8BF5B8">
      <w:pPr>
        <w:pStyle w:val="Heading3"/>
        <w:spacing w:before="281" w:after="281"/>
      </w:pPr>
      <w:proofErr w:type="gramStart"/>
      <w:r w:rsidRPr="27FB5717">
        <w:rPr>
          <w:rFonts w:ascii="Aptos" w:hAnsi="Aptos" w:eastAsia="Aptos" w:cs="Aptos"/>
          <w:b/>
          <w:bCs/>
        </w:rPr>
        <w:t>1  Headline</w:t>
      </w:r>
      <w:proofErr w:type="gramEnd"/>
      <w:r w:rsidRPr="27FB5717">
        <w:rPr>
          <w:rFonts w:ascii="Aptos" w:hAnsi="Aptos" w:eastAsia="Aptos" w:cs="Aptos"/>
          <w:b/>
          <w:bCs/>
        </w:rPr>
        <w:t xml:space="preserve"> 2024 changes</w:t>
      </w:r>
    </w:p>
    <w:p w:rsidR="10E38692" w:rsidP="27FB5717" w:rsidRDefault="10E38692" w14:paraId="7ECF7716" w14:textId="4151831D">
      <w:pPr>
        <w:spacing w:before="240" w:after="240"/>
      </w:pPr>
      <w:r w:rsidRPr="27FB5717">
        <w:rPr>
          <w:rFonts w:ascii="Aptos" w:hAnsi="Aptos" w:eastAsia="Aptos" w:cs="Aptos"/>
        </w:rPr>
        <w:t>• Benzathine penicillin + lidocaine licensed and preferred.</w:t>
      </w:r>
    </w:p>
    <w:p w:rsidR="10E38692" w:rsidP="27FB5717" w:rsidRDefault="10E38692" w14:paraId="58FD5640" w14:textId="1E6C45B8">
      <w:pPr>
        <w:spacing w:before="240" w:after="240"/>
      </w:pPr>
      <w:r w:rsidRPr="27FB5717">
        <w:rPr>
          <w:rFonts w:ascii="Aptos" w:hAnsi="Aptos" w:eastAsia="Aptos" w:cs="Aptos"/>
        </w:rPr>
        <w:t xml:space="preserve"> • Macrolides removed (23S rRNA‑mediated resistance).</w:t>
      </w:r>
    </w:p>
    <w:p w:rsidR="10E38692" w:rsidP="27FB5717" w:rsidRDefault="10E38692" w14:paraId="4B6619C0" w14:textId="0D2240B6">
      <w:pPr>
        <w:spacing w:before="240" w:after="240"/>
      </w:pPr>
      <w:r w:rsidRPr="27FB5717">
        <w:rPr>
          <w:rFonts w:ascii="Aptos" w:hAnsi="Aptos" w:eastAsia="Aptos" w:cs="Aptos"/>
        </w:rPr>
        <w:t xml:space="preserve"> • Ceftriaxone accepted alternative when penicillin unsuitable.</w:t>
      </w:r>
    </w:p>
    <w:p w:rsidR="10E38692" w:rsidP="27FB5717" w:rsidRDefault="10E38692" w14:paraId="136AC985" w14:textId="5A1EFFC5">
      <w:pPr>
        <w:spacing w:before="240" w:after="240"/>
      </w:pPr>
      <w:r w:rsidRPr="27FB5717">
        <w:rPr>
          <w:rFonts w:ascii="Aptos" w:hAnsi="Aptos" w:eastAsia="Aptos" w:cs="Aptos"/>
        </w:rPr>
        <w:t xml:space="preserve"> • Expanded use of PCR; serology pathway updated after UK TPPA withdrawal.</w:t>
      </w:r>
    </w:p>
    <w:p w:rsidR="10E38692" w:rsidP="27FB5717" w:rsidRDefault="10E38692" w14:paraId="7D95D70C" w14:textId="1D466F54">
      <w:pPr>
        <w:spacing w:before="240" w:after="240"/>
      </w:pPr>
      <w:r w:rsidRPr="27FB5717">
        <w:rPr>
          <w:rFonts w:ascii="Aptos" w:hAnsi="Aptos" w:eastAsia="Aptos" w:cs="Aptos"/>
        </w:rPr>
        <w:t xml:space="preserve"> • Management of </w:t>
      </w:r>
      <w:proofErr w:type="spellStart"/>
      <w:r w:rsidRPr="27FB5717">
        <w:rPr>
          <w:rFonts w:ascii="Aptos" w:hAnsi="Aptos" w:eastAsia="Aptos" w:cs="Aptos"/>
        </w:rPr>
        <w:t>serofast</w:t>
      </w:r>
      <w:proofErr w:type="spellEnd"/>
      <w:r w:rsidRPr="27FB5717">
        <w:rPr>
          <w:rFonts w:ascii="Aptos" w:hAnsi="Aptos" w:eastAsia="Aptos" w:cs="Aptos"/>
        </w:rPr>
        <w:t xml:space="preserve"> cases refined; LP indications narrowed; ≤14 d gap now tolerated between benzathine doses. fileciteturn4file9</w:t>
      </w:r>
    </w:p>
    <w:p w:rsidRPr="00B6717A" w:rsidR="10E38692" w:rsidP="27FB5717" w:rsidRDefault="10E38692" w14:paraId="1692CAA4" w14:textId="275FE6FC">
      <w:pPr>
        <w:spacing w:before="240" w:after="240"/>
        <w:rPr>
          <w:b/>
          <w:bCs/>
        </w:rPr>
      </w:pPr>
      <w:r w:rsidRPr="00B6717A">
        <w:rPr>
          <w:rFonts w:ascii="Aptos" w:hAnsi="Aptos" w:eastAsia="Aptos" w:cs="Aptos"/>
          <w:b/>
          <w:bCs/>
        </w:rPr>
        <w:t>### </w:t>
      </w:r>
      <w:proofErr w:type="gramStart"/>
      <w:r w:rsidRPr="00B6717A">
        <w:rPr>
          <w:rFonts w:ascii="Aptos" w:hAnsi="Aptos" w:eastAsia="Aptos" w:cs="Aptos"/>
          <w:b/>
          <w:bCs/>
        </w:rPr>
        <w:t>2  Organism</w:t>
      </w:r>
      <w:proofErr w:type="gramEnd"/>
      <w:r w:rsidRPr="00B6717A">
        <w:rPr>
          <w:rFonts w:ascii="Aptos" w:hAnsi="Aptos" w:eastAsia="Aptos" w:cs="Aptos"/>
          <w:b/>
          <w:bCs/>
        </w:rPr>
        <w:t xml:space="preserve"> &amp; epidemiology</w:t>
      </w:r>
    </w:p>
    <w:p w:rsidR="10E38692" w:rsidP="27FB5717" w:rsidRDefault="10E38692" w14:paraId="269545DE" w14:textId="3508F132">
      <w:pPr>
        <w:spacing w:before="240" w:after="240"/>
        <w:rPr>
          <w:rFonts w:ascii="Aptos" w:hAnsi="Aptos" w:eastAsia="Aptos" w:cs="Aptos"/>
        </w:rPr>
      </w:pPr>
      <w:r w:rsidRPr="27FB5717">
        <w:rPr>
          <w:rFonts w:ascii="Aptos" w:hAnsi="Aptos" w:eastAsia="Aptos" w:cs="Aptos"/>
        </w:rPr>
        <w:t xml:space="preserve"> </w:t>
      </w:r>
      <w:r w:rsidRPr="27FB5717">
        <w:rPr>
          <w:rFonts w:ascii="Aptos" w:hAnsi="Aptos" w:eastAsia="Aptos" w:cs="Aptos"/>
          <w:i/>
          <w:iCs/>
        </w:rPr>
        <w:t>Treponema pallidum</w:t>
      </w:r>
      <w:r w:rsidRPr="27FB5717">
        <w:rPr>
          <w:rFonts w:ascii="Aptos" w:hAnsi="Aptos" w:eastAsia="Aptos" w:cs="Aptos"/>
        </w:rPr>
        <w:t xml:space="preserve"> subsp. </w:t>
      </w:r>
      <w:r w:rsidRPr="27FB5717">
        <w:rPr>
          <w:rFonts w:ascii="Aptos" w:hAnsi="Aptos" w:eastAsia="Aptos" w:cs="Aptos"/>
          <w:i/>
          <w:iCs/>
        </w:rPr>
        <w:t>pallidum</w:t>
      </w:r>
      <w:r w:rsidRPr="27FB5717">
        <w:rPr>
          <w:rFonts w:ascii="Aptos" w:hAnsi="Aptos" w:eastAsia="Aptos" w:cs="Aptos"/>
        </w:rPr>
        <w:t xml:space="preserve">; human‑only reservoir, sexual or trans‑placental transmission. UK incidence rising since 2014, majority GBMSM but marked uptick in heterosexual and female cases.  </w:t>
      </w:r>
    </w:p>
    <w:p w:rsidR="00C105AA" w:rsidP="065FD309" w:rsidRDefault="00C105AA" w14:paraId="2FF2CCD0" w14:noSpellErr="1" w14:textId="59A6F181">
      <w:pPr>
        <w:pStyle w:val="Normal"/>
        <w:spacing w:before="240" w:after="240"/>
        <w:rPr>
          <w:rFonts w:ascii="Aptos" w:hAnsi="Aptos" w:eastAsia="Aptos" w:cs="Aptos"/>
        </w:rPr>
        <w:sectPr w:rsidR="00C105AA">
          <w:pgSz w:w="11906" w:h="16838" w:orient="portrait"/>
          <w:pgMar w:top="720" w:right="720" w:bottom="720" w:left="720" w:header="720" w:footer="720" w:gutter="0"/>
          <w:cols w:space="720"/>
          <w:docGrid w:linePitch="360"/>
        </w:sectPr>
      </w:pPr>
    </w:p>
    <w:p w:rsidR="00C105AA" w:rsidP="27FB5717" w:rsidRDefault="00C105AA" w14:paraId="19F9BA73" w14:textId="77777777">
      <w:pPr>
        <w:spacing w:before="240" w:after="240"/>
      </w:pPr>
    </w:p>
    <w:p w:rsidRPr="00B6717A" w:rsidR="10E38692" w:rsidP="27FB5717" w:rsidRDefault="10E38692" w14:paraId="4D7BD8D2" w14:textId="3EBCB4CC">
      <w:pPr>
        <w:spacing w:before="240" w:after="240"/>
        <w:rPr>
          <w:b/>
          <w:bCs/>
        </w:rPr>
      </w:pPr>
      <w:r w:rsidRPr="00B6717A">
        <w:rPr>
          <w:rFonts w:ascii="Aptos" w:hAnsi="Aptos" w:eastAsia="Aptos" w:cs="Aptos"/>
          <w:b/>
          <w:bCs/>
        </w:rPr>
        <w:t>### </w:t>
      </w:r>
      <w:proofErr w:type="gramStart"/>
      <w:r w:rsidRPr="00B6717A">
        <w:rPr>
          <w:rFonts w:ascii="Aptos" w:hAnsi="Aptos" w:eastAsia="Aptos" w:cs="Aptos"/>
          <w:b/>
          <w:bCs/>
        </w:rPr>
        <w:t>3  Clinical</w:t>
      </w:r>
      <w:proofErr w:type="gramEnd"/>
      <w:r w:rsidRPr="00B6717A">
        <w:rPr>
          <w:rFonts w:ascii="Aptos" w:hAnsi="Aptos" w:eastAsia="Aptos" w:cs="Aptos"/>
          <w:b/>
          <w:bCs/>
        </w:rPr>
        <w:t xml:space="preserve"> staging (high‑yield features)</w:t>
      </w:r>
    </w:p>
    <w:tbl>
      <w:tblPr>
        <w:tblW w:w="16727" w:type="dxa"/>
        <w:tblLayout w:type="fixed"/>
        <w:tblLook w:val="06A0" w:firstRow="1" w:lastRow="0" w:firstColumn="1" w:lastColumn="0" w:noHBand="1" w:noVBand="1"/>
      </w:tblPr>
      <w:tblGrid>
        <w:gridCol w:w="2977"/>
        <w:gridCol w:w="7796"/>
        <w:gridCol w:w="1985"/>
        <w:gridCol w:w="3969"/>
      </w:tblGrid>
      <w:tr w:rsidR="27FB5717" w:rsidTr="065FD309" w14:paraId="7419BDD9" w14:textId="77777777">
        <w:trPr>
          <w:trHeight w:val="300"/>
        </w:trPr>
        <w:tc>
          <w:tcPr>
            <w:tcW w:w="2977" w:type="dxa"/>
            <w:tcMar/>
            <w:vAlign w:val="center"/>
          </w:tcPr>
          <w:p w:rsidR="27FB5717" w:rsidP="00C105AA" w:rsidRDefault="27FB5717" w14:paraId="65589809" w14:textId="7AE1612C">
            <w:pPr>
              <w:spacing w:after="0"/>
            </w:pPr>
            <w:r w:rsidRPr="27FB5717">
              <w:rPr>
                <w:b/>
                <w:bCs/>
              </w:rPr>
              <w:t>Stage</w:t>
            </w:r>
          </w:p>
        </w:tc>
        <w:tc>
          <w:tcPr>
            <w:tcW w:w="7796" w:type="dxa"/>
            <w:tcMar/>
            <w:vAlign w:val="center"/>
          </w:tcPr>
          <w:p w:rsidR="27FB5717" w:rsidP="00C105AA" w:rsidRDefault="27FB5717" w14:paraId="68BE3449" w14:textId="738C98FF">
            <w:pPr>
              <w:spacing w:after="0"/>
            </w:pPr>
            <w:r w:rsidRPr="27FB5717">
              <w:rPr>
                <w:b/>
                <w:bCs/>
              </w:rPr>
              <w:t>Key clinical points</w:t>
            </w:r>
          </w:p>
        </w:tc>
        <w:tc>
          <w:tcPr>
            <w:tcW w:w="1985" w:type="dxa"/>
            <w:tcMar/>
            <w:vAlign w:val="center"/>
          </w:tcPr>
          <w:p w:rsidR="27FB5717" w:rsidP="00C105AA" w:rsidRDefault="27FB5717" w14:paraId="69DB4811" w14:textId="41F21E67">
            <w:pPr>
              <w:spacing w:after="0"/>
            </w:pPr>
            <w:r w:rsidRPr="27FB5717">
              <w:rPr>
                <w:b/>
                <w:bCs/>
              </w:rPr>
              <w:t>Still infectious?</w:t>
            </w:r>
          </w:p>
        </w:tc>
        <w:tc>
          <w:tcPr>
            <w:tcW w:w="3969" w:type="dxa"/>
            <w:tcMar/>
            <w:vAlign w:val="center"/>
          </w:tcPr>
          <w:p w:rsidR="27FB5717" w:rsidP="00C105AA" w:rsidRDefault="27FB5717" w14:paraId="381928A4" w14:textId="3E0D70CC">
            <w:pPr>
              <w:spacing w:after="0"/>
            </w:pPr>
            <w:r w:rsidRPr="27FB5717">
              <w:rPr>
                <w:b/>
                <w:bCs/>
              </w:rPr>
              <w:t>First‑line therapy*</w:t>
            </w:r>
          </w:p>
        </w:tc>
      </w:tr>
      <w:tr w:rsidR="27FB5717" w:rsidTr="065FD309" w14:paraId="77AFB49F" w14:textId="77777777">
        <w:trPr>
          <w:trHeight w:val="300"/>
        </w:trPr>
        <w:tc>
          <w:tcPr>
            <w:tcW w:w="2977" w:type="dxa"/>
            <w:tcMar/>
            <w:vAlign w:val="center"/>
          </w:tcPr>
          <w:p w:rsidR="27FB5717" w:rsidP="00C105AA" w:rsidRDefault="27FB5717" w14:paraId="4A621EAB" w14:textId="5225B25B">
            <w:pPr>
              <w:spacing w:after="0"/>
            </w:pPr>
            <w:r>
              <w:t>Primary</w:t>
            </w:r>
          </w:p>
        </w:tc>
        <w:tc>
          <w:tcPr>
            <w:tcW w:w="7796" w:type="dxa"/>
            <w:tcMar/>
            <w:vAlign w:val="center"/>
          </w:tcPr>
          <w:p w:rsidR="27FB5717" w:rsidP="00C105AA" w:rsidRDefault="27FB5717" w14:paraId="1310F0D5" w14:textId="446AA643">
            <w:pPr>
              <w:spacing w:after="0"/>
            </w:pPr>
            <w:r>
              <w:t>Chancre (often painless; may be multiple). Dark‑ground/PCR positive before serology.</w:t>
            </w:r>
          </w:p>
        </w:tc>
        <w:tc>
          <w:tcPr>
            <w:tcW w:w="1985" w:type="dxa"/>
            <w:tcMar/>
            <w:vAlign w:val="center"/>
          </w:tcPr>
          <w:p w:rsidR="27FB5717" w:rsidP="00C105AA" w:rsidRDefault="27FB5717" w14:paraId="02ECB544" w14:textId="4210B78C">
            <w:pPr>
              <w:spacing w:after="0"/>
            </w:pPr>
            <w:r>
              <w:t>✔</w:t>
            </w:r>
          </w:p>
        </w:tc>
        <w:tc>
          <w:tcPr>
            <w:tcW w:w="3969" w:type="dxa"/>
            <w:tcMar/>
            <w:vAlign w:val="center"/>
          </w:tcPr>
          <w:p w:rsidR="27FB5717" w:rsidP="00C105AA" w:rsidRDefault="27FB5717" w14:paraId="33E802EA" w14:textId="129F887D">
            <w:pPr>
              <w:spacing w:after="0"/>
            </w:pPr>
            <w:r>
              <w:t>BP† 2.4 MU IM ×1</w:t>
            </w:r>
          </w:p>
        </w:tc>
      </w:tr>
      <w:tr w:rsidR="27FB5717" w:rsidTr="065FD309" w14:paraId="1ECB523B" w14:textId="77777777">
        <w:trPr>
          <w:trHeight w:val="300"/>
        </w:trPr>
        <w:tc>
          <w:tcPr>
            <w:tcW w:w="2977" w:type="dxa"/>
            <w:tcMar/>
            <w:vAlign w:val="center"/>
          </w:tcPr>
          <w:p w:rsidR="27FB5717" w:rsidP="00C105AA" w:rsidRDefault="27FB5717" w14:paraId="2A2260A5" w14:textId="5A36D76C">
            <w:pPr>
              <w:spacing w:after="0"/>
            </w:pPr>
            <w:r>
              <w:t>Secondary</w:t>
            </w:r>
          </w:p>
        </w:tc>
        <w:tc>
          <w:tcPr>
            <w:tcW w:w="7796" w:type="dxa"/>
            <w:tcMar/>
            <w:vAlign w:val="center"/>
          </w:tcPr>
          <w:p w:rsidR="27FB5717" w:rsidP="00C105AA" w:rsidRDefault="27FB5717" w14:paraId="3E63506A" w14:textId="2BFC5482">
            <w:pPr>
              <w:spacing w:after="0"/>
            </w:pPr>
            <w:r>
              <w:t xml:space="preserve">Rash incl. palms/soles, </w:t>
            </w:r>
            <w:proofErr w:type="spellStart"/>
            <w:r>
              <w:t>condylomata</w:t>
            </w:r>
            <w:proofErr w:type="spellEnd"/>
            <w:r>
              <w:t xml:space="preserve"> </w:t>
            </w:r>
            <w:proofErr w:type="spellStart"/>
            <w:r>
              <w:t>lata</w:t>
            </w:r>
            <w:proofErr w:type="spellEnd"/>
            <w:r>
              <w:t>, alopecia; systemic (uveitis/meningitis). Beware prozone.</w:t>
            </w:r>
          </w:p>
        </w:tc>
        <w:tc>
          <w:tcPr>
            <w:tcW w:w="1985" w:type="dxa"/>
            <w:tcMar/>
            <w:vAlign w:val="center"/>
          </w:tcPr>
          <w:p w:rsidR="27FB5717" w:rsidP="00C105AA" w:rsidRDefault="27FB5717" w14:paraId="424000F9" w14:textId="19E6C2C8">
            <w:pPr>
              <w:spacing w:after="0"/>
            </w:pPr>
            <w:r>
              <w:t>✔</w:t>
            </w:r>
          </w:p>
        </w:tc>
        <w:tc>
          <w:tcPr>
            <w:tcW w:w="3969" w:type="dxa"/>
            <w:tcMar/>
            <w:vAlign w:val="center"/>
          </w:tcPr>
          <w:p w:rsidR="27FB5717" w:rsidP="00C105AA" w:rsidRDefault="27FB5717" w14:paraId="5C92DBB0" w14:textId="4FA82C3A">
            <w:pPr>
              <w:spacing w:after="0"/>
            </w:pPr>
            <w:r>
              <w:t>BP 2.4 MU IM ×1</w:t>
            </w:r>
          </w:p>
        </w:tc>
      </w:tr>
      <w:tr w:rsidR="27FB5717" w:rsidTr="065FD309" w14:paraId="7FB7922D" w14:textId="77777777">
        <w:trPr>
          <w:trHeight w:val="300"/>
        </w:trPr>
        <w:tc>
          <w:tcPr>
            <w:tcW w:w="2977" w:type="dxa"/>
            <w:tcMar/>
            <w:vAlign w:val="center"/>
          </w:tcPr>
          <w:p w:rsidR="27FB5717" w:rsidP="00C105AA" w:rsidRDefault="27FB5717" w14:paraId="08B53F56" w14:textId="415E9BB7">
            <w:pPr>
              <w:spacing w:after="0"/>
            </w:pPr>
            <w:r>
              <w:t>Early latent (&lt;2 y)</w:t>
            </w:r>
          </w:p>
        </w:tc>
        <w:tc>
          <w:tcPr>
            <w:tcW w:w="7796" w:type="dxa"/>
            <w:tcMar/>
            <w:vAlign w:val="center"/>
          </w:tcPr>
          <w:p w:rsidR="27FB5717" w:rsidP="00C105AA" w:rsidRDefault="27FB5717" w14:paraId="571A0D95" w14:textId="607B109B">
            <w:pPr>
              <w:spacing w:after="0"/>
            </w:pPr>
            <w:r>
              <w:t>Asymptomatic but transmissible; 4‑fold RPR rise = active.</w:t>
            </w:r>
          </w:p>
        </w:tc>
        <w:tc>
          <w:tcPr>
            <w:tcW w:w="1985" w:type="dxa"/>
            <w:tcMar/>
            <w:vAlign w:val="center"/>
          </w:tcPr>
          <w:p w:rsidR="27FB5717" w:rsidP="00C105AA" w:rsidRDefault="27FB5717" w14:paraId="441E44C9" w14:textId="62360F7F">
            <w:pPr>
              <w:spacing w:after="0"/>
            </w:pPr>
            <w:r>
              <w:t>✔</w:t>
            </w:r>
          </w:p>
        </w:tc>
        <w:tc>
          <w:tcPr>
            <w:tcW w:w="3969" w:type="dxa"/>
            <w:tcMar/>
            <w:vAlign w:val="center"/>
          </w:tcPr>
          <w:p w:rsidR="27FB5717" w:rsidP="00C105AA" w:rsidRDefault="27FB5717" w14:paraId="5ACD6B87" w14:textId="5E9A64F7">
            <w:pPr>
              <w:spacing w:after="0"/>
            </w:pPr>
            <w:r>
              <w:t>BP 2.4 MU IM ×1</w:t>
            </w:r>
          </w:p>
        </w:tc>
      </w:tr>
      <w:tr w:rsidR="27FB5717" w:rsidTr="065FD309" w14:paraId="021715C7" w14:textId="77777777">
        <w:trPr>
          <w:trHeight w:val="300"/>
        </w:trPr>
        <w:tc>
          <w:tcPr>
            <w:tcW w:w="2977" w:type="dxa"/>
            <w:tcMar/>
            <w:vAlign w:val="center"/>
          </w:tcPr>
          <w:p w:rsidR="27FB5717" w:rsidP="00C105AA" w:rsidRDefault="27FB5717" w14:paraId="4A62F91E" w14:textId="70E80302">
            <w:pPr>
              <w:spacing w:after="0"/>
            </w:pPr>
            <w:r>
              <w:t>Late latent / tertiary</w:t>
            </w:r>
          </w:p>
        </w:tc>
        <w:tc>
          <w:tcPr>
            <w:tcW w:w="7796" w:type="dxa"/>
            <w:tcMar/>
            <w:vAlign w:val="center"/>
          </w:tcPr>
          <w:p w:rsidR="27FB5717" w:rsidP="00C105AA" w:rsidRDefault="27FB5717" w14:paraId="1D27E10D" w14:textId="752F0FBF">
            <w:pPr>
              <w:spacing w:after="0"/>
            </w:pPr>
            <w:proofErr w:type="spellStart"/>
            <w:r>
              <w:t>Gummata</w:t>
            </w:r>
            <w:proofErr w:type="spellEnd"/>
            <w:r>
              <w:t xml:space="preserve">, aortitis, </w:t>
            </w:r>
            <w:proofErr w:type="spellStart"/>
            <w:r>
              <w:t>tabes</w:t>
            </w:r>
            <w:proofErr w:type="spellEnd"/>
            <w:r>
              <w:t xml:space="preserve"> dorsalis, paresis.</w:t>
            </w:r>
          </w:p>
        </w:tc>
        <w:tc>
          <w:tcPr>
            <w:tcW w:w="1985" w:type="dxa"/>
            <w:tcMar/>
            <w:vAlign w:val="center"/>
          </w:tcPr>
          <w:p w:rsidR="27FB5717" w:rsidP="00C105AA" w:rsidRDefault="27FB5717" w14:paraId="179A2A5D" w14:textId="24D394EF">
            <w:pPr>
              <w:spacing w:after="0"/>
            </w:pPr>
            <w:r>
              <w:t>✖</w:t>
            </w:r>
          </w:p>
        </w:tc>
        <w:tc>
          <w:tcPr>
            <w:tcW w:w="3969" w:type="dxa"/>
            <w:tcMar/>
            <w:vAlign w:val="center"/>
          </w:tcPr>
          <w:p w:rsidR="27FB5717" w:rsidP="00C105AA" w:rsidRDefault="27FB5717" w14:paraId="7BB5DFEF" w14:textId="5F624300">
            <w:pPr>
              <w:spacing w:after="0"/>
            </w:pPr>
            <w:r w:rsidR="654573A6">
              <w:rPr/>
              <w:t>BP 2.4 MU IM weekly ×3</w:t>
            </w:r>
            <w:r w:rsidR="575F894F">
              <w:rPr/>
              <w:t>^</w:t>
            </w:r>
          </w:p>
        </w:tc>
      </w:tr>
    </w:tbl>
    <w:p w:rsidR="10E38692" w:rsidP="065FD309" w:rsidRDefault="10E38692" w14:paraId="241CCA3A" w14:textId="041F392E">
      <w:pPr>
        <w:spacing w:before="240" w:after="240"/>
        <w:jc w:val="left"/>
      </w:pPr>
      <w:r w:rsidRPr="065FD309" w:rsidR="10E38692">
        <w:rPr>
          <w:rFonts w:ascii="Aptos" w:hAnsi="Aptos" w:eastAsia="Aptos" w:cs="Aptos"/>
        </w:rPr>
        <w:t xml:space="preserve">*Alternatives see §5. </w:t>
      </w:r>
    </w:p>
    <w:p w:rsidR="10E38692" w:rsidP="065FD309" w:rsidRDefault="10E38692" w14:paraId="3B0ACE0F" w14:textId="36F053E5">
      <w:pPr>
        <w:spacing w:before="240" w:after="240"/>
        <w:jc w:val="left"/>
      </w:pPr>
      <w:r w:rsidRPr="065FD309" w:rsidR="10E38692">
        <w:rPr>
          <w:rFonts w:ascii="Aptos" w:hAnsi="Aptos" w:eastAsia="Aptos" w:cs="Aptos"/>
        </w:rPr>
        <w:t>†BP = benzathine penicillin G.</w:t>
      </w:r>
    </w:p>
    <w:p w:rsidR="17A41A8E" w:rsidP="065FD309" w:rsidRDefault="17A41A8E" w14:paraId="7503E286" w14:textId="4B7A5AFE">
      <w:pPr>
        <w:spacing w:before="240" w:after="240"/>
        <w:jc w:val="left"/>
        <w:rPr>
          <w:rFonts w:ascii="Aptos" w:hAnsi="Aptos" w:eastAsia="Aptos" w:cs="Aptos"/>
        </w:rPr>
      </w:pPr>
      <w:r w:rsidRPr="065FD309" w:rsidR="17A41A8E">
        <w:rPr>
          <w:rFonts w:ascii="Aptos" w:hAnsi="Aptos" w:eastAsia="Aptos" w:cs="Aptos"/>
        </w:rPr>
        <w:t>^ gap can be up to 14 days</w:t>
      </w:r>
    </w:p>
    <w:p w:rsidR="00C105AA" w:rsidP="065FD309" w:rsidRDefault="00C105AA" w14:paraId="6DB13F25" w14:noSpellErr="1" w14:textId="0FF6BC6C">
      <w:pPr>
        <w:pStyle w:val="Normal"/>
        <w:spacing w:before="240" w:after="240"/>
        <w:rPr>
          <w:rFonts w:ascii="Aptos" w:hAnsi="Aptos" w:eastAsia="Aptos" w:cs="Aptos"/>
        </w:rPr>
        <w:sectPr w:rsidR="00C105AA" w:rsidSect="00C105AA">
          <w:pgSz w:w="16838" w:h="11906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Pr="00B6717A" w:rsidR="10E38692" w:rsidP="27FB5717" w:rsidRDefault="10E38692" w14:paraId="0A3F2EB0" w14:textId="10A81AF6">
      <w:pPr>
        <w:spacing w:before="240" w:after="240"/>
        <w:rPr>
          <w:b/>
          <w:bCs/>
        </w:rPr>
      </w:pPr>
      <w:r w:rsidRPr="00B6717A">
        <w:rPr>
          <w:rFonts w:ascii="Aptos" w:hAnsi="Aptos" w:eastAsia="Aptos" w:cs="Aptos"/>
          <w:b/>
          <w:bCs/>
        </w:rPr>
        <w:lastRenderedPageBreak/>
        <w:t>### </w:t>
      </w:r>
      <w:proofErr w:type="gramStart"/>
      <w:r w:rsidRPr="00B6717A">
        <w:rPr>
          <w:rFonts w:ascii="Aptos" w:hAnsi="Aptos" w:eastAsia="Aptos" w:cs="Aptos"/>
          <w:b/>
          <w:bCs/>
        </w:rPr>
        <w:t>4  Laboratory</w:t>
      </w:r>
      <w:proofErr w:type="gramEnd"/>
      <w:r w:rsidRPr="00B6717A">
        <w:rPr>
          <w:rFonts w:ascii="Aptos" w:hAnsi="Aptos" w:eastAsia="Aptos" w:cs="Aptos"/>
          <w:b/>
          <w:bCs/>
        </w:rPr>
        <w:t xml:space="preserve"> diagnosis</w:t>
      </w:r>
    </w:p>
    <w:p w:rsidR="10E38692" w:rsidP="27FB5717" w:rsidRDefault="10E38692" w14:paraId="244DA602" w14:textId="4DC6FA6F">
      <w:pPr>
        <w:spacing w:before="240" w:after="240"/>
      </w:pPr>
      <w:r w:rsidRPr="27FB5717">
        <w:rPr>
          <w:rFonts w:ascii="Aptos" w:hAnsi="Aptos" w:eastAsia="Aptos" w:cs="Aptos"/>
        </w:rPr>
        <w:t xml:space="preserve"> </w:t>
      </w:r>
      <w:r w:rsidRPr="27FB5717">
        <w:rPr>
          <w:rFonts w:ascii="Aptos" w:hAnsi="Aptos" w:eastAsia="Aptos" w:cs="Aptos"/>
          <w:b/>
          <w:bCs/>
        </w:rPr>
        <w:t>Direct</w:t>
      </w:r>
      <w:r w:rsidRPr="27FB5717">
        <w:rPr>
          <w:rFonts w:ascii="Aptos" w:hAnsi="Aptos" w:eastAsia="Aptos" w:cs="Aptos"/>
        </w:rPr>
        <w:t xml:space="preserve"> – Dark‑ground microscopy (operator‑dependent; avoid oral/rectal) and PCR (higher sensitivity, any site). fileciteturn4file13</w:t>
      </w:r>
    </w:p>
    <w:p w:rsidR="10E38692" w:rsidP="27FB5717" w:rsidRDefault="10E38692" w14:paraId="65A8D2D8" w14:textId="394672E6">
      <w:pPr>
        <w:spacing w:before="240" w:after="240"/>
      </w:pPr>
      <w:r w:rsidRPr="27FB5717">
        <w:rPr>
          <w:rFonts w:ascii="Aptos" w:hAnsi="Aptos" w:eastAsia="Aptos" w:cs="Aptos"/>
        </w:rPr>
        <w:t xml:space="preserve"> </w:t>
      </w:r>
      <w:r w:rsidRPr="27FB5717">
        <w:rPr>
          <w:rFonts w:ascii="Aptos" w:hAnsi="Aptos" w:eastAsia="Aptos" w:cs="Aptos"/>
          <w:b/>
          <w:bCs/>
        </w:rPr>
        <w:t>Serology algorithm</w:t>
      </w:r>
    </w:p>
    <w:p w:rsidR="10E38692" w:rsidP="27FB5717" w:rsidRDefault="10E38692" w14:paraId="75F34C3C" w14:textId="203E9408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/>
        </w:rPr>
      </w:pPr>
      <w:r w:rsidRPr="27FB5717">
        <w:rPr>
          <w:rFonts w:ascii="Aptos" w:hAnsi="Aptos" w:eastAsia="Aptos" w:cs="Aptos"/>
        </w:rPr>
        <w:t>EIA/CLIA (IgG ± IgM) screen.</w:t>
      </w:r>
    </w:p>
    <w:p w:rsidR="10E38692" w:rsidP="27FB5717" w:rsidRDefault="10E38692" w14:paraId="665F0DC5" w14:textId="0400C8AF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/>
        </w:rPr>
      </w:pPr>
      <w:r w:rsidRPr="27FB5717">
        <w:rPr>
          <w:rFonts w:ascii="Aptos" w:hAnsi="Aptos" w:eastAsia="Aptos" w:cs="Aptos"/>
        </w:rPr>
        <w:t>Confirm with different treponemal test (TPHA/TPLA or 2nd EIA) + baseline quantitative RPR.</w:t>
      </w:r>
    </w:p>
    <w:p w:rsidR="10E38692" w:rsidP="27FB5717" w:rsidRDefault="10E38692" w14:paraId="0BCEA997" w14:textId="74FE75ED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/>
        </w:rPr>
      </w:pPr>
      <w:r w:rsidRPr="27FB5717">
        <w:rPr>
          <w:rFonts w:ascii="Aptos" w:hAnsi="Aptos" w:eastAsia="Aptos" w:cs="Aptos"/>
        </w:rPr>
        <w:t>RPR ≥1:16 suggests activity; 4‑fold rise = new/relapse; dilute serum to avoid prozone. fileciteturn4file8</w:t>
      </w:r>
    </w:p>
    <w:p w:rsidR="10E38692" w:rsidP="27FB5717" w:rsidRDefault="10E38692" w14:paraId="10949124" w14:textId="4A1562CE">
      <w:pPr>
        <w:spacing w:before="240" w:after="240"/>
      </w:pPr>
      <w:r w:rsidRPr="065FD309" w:rsidR="10E38692">
        <w:rPr>
          <w:rFonts w:ascii="Aptos" w:hAnsi="Aptos" w:eastAsia="Aptos" w:cs="Aptos"/>
        </w:rPr>
        <w:t xml:space="preserve"> </w:t>
      </w:r>
      <w:r w:rsidRPr="065FD309" w:rsidR="10E38692">
        <w:rPr>
          <w:rFonts w:ascii="Aptos" w:hAnsi="Aptos" w:eastAsia="Aptos" w:cs="Aptos"/>
          <w:b w:val="1"/>
          <w:bCs w:val="1"/>
        </w:rPr>
        <w:t>Repeat testing rules</w:t>
      </w:r>
      <w:r w:rsidRPr="065FD309" w:rsidR="10E38692">
        <w:rPr>
          <w:rFonts w:ascii="Aptos" w:hAnsi="Aptos" w:eastAsia="Aptos" w:cs="Aptos"/>
        </w:rPr>
        <w:t xml:space="preserve"> – </w:t>
      </w:r>
    </w:p>
    <w:p w:rsidR="10E38692" w:rsidP="065FD309" w:rsidRDefault="10E38692" w14:paraId="0478A040" w14:textId="038FCD4A">
      <w:pPr>
        <w:pStyle w:val="ListParagraph"/>
        <w:numPr>
          <w:ilvl w:val="0"/>
          <w:numId w:val="13"/>
        </w:numPr>
        <w:spacing w:before="240" w:after="240"/>
        <w:rPr>
          <w:rFonts w:ascii="Aptos" w:hAnsi="Aptos" w:eastAsia="Aptos" w:cs="Aptos"/>
        </w:rPr>
      </w:pPr>
      <w:r w:rsidRPr="065FD309" w:rsidR="70774CE7">
        <w:rPr>
          <w:rFonts w:ascii="Aptos" w:hAnsi="Aptos" w:eastAsia="Aptos" w:cs="Aptos"/>
        </w:rPr>
        <w:t>Ab s</w:t>
      </w:r>
      <w:r w:rsidRPr="065FD309" w:rsidR="10E38692">
        <w:rPr>
          <w:rFonts w:ascii="Aptos" w:hAnsi="Aptos" w:eastAsia="Aptos" w:cs="Aptos"/>
        </w:rPr>
        <w:t>creen </w:t>
      </w:r>
      <w:r w:rsidRPr="065FD309" w:rsidR="33D16CB0">
        <w:rPr>
          <w:rFonts w:ascii="Aptos" w:hAnsi="Aptos" w:eastAsia="Aptos" w:cs="Aptos"/>
        </w:rPr>
        <w:t>pos</w:t>
      </w:r>
      <w:r w:rsidRPr="065FD309" w:rsidR="40E304DE">
        <w:rPr>
          <w:rFonts w:ascii="Aptos" w:hAnsi="Aptos" w:eastAsia="Aptos" w:cs="Aptos"/>
        </w:rPr>
        <w:t>,</w:t>
      </w:r>
      <w:r w:rsidRPr="065FD309" w:rsidR="10E38692">
        <w:rPr>
          <w:rFonts w:ascii="Aptos" w:hAnsi="Aptos" w:eastAsia="Aptos" w:cs="Aptos"/>
        </w:rPr>
        <w:t xml:space="preserve"> confirmatory </w:t>
      </w:r>
      <w:r w:rsidRPr="065FD309" w:rsidR="2CA7CCAC">
        <w:rPr>
          <w:rFonts w:ascii="Aptos" w:hAnsi="Aptos" w:eastAsia="Aptos" w:cs="Aptos"/>
        </w:rPr>
        <w:t>neg</w:t>
      </w:r>
      <w:r w:rsidRPr="065FD309" w:rsidR="213B40AB">
        <w:rPr>
          <w:rFonts w:ascii="Aptos" w:hAnsi="Aptos" w:eastAsia="Aptos" w:cs="Aptos"/>
        </w:rPr>
        <w:t xml:space="preserve"> &gt;</w:t>
      </w:r>
      <w:r w:rsidRPr="065FD309" w:rsidR="213B40AB">
        <w:rPr>
          <w:rFonts w:ascii="Aptos" w:hAnsi="Aptos" w:eastAsia="Aptos" w:cs="Aptos"/>
        </w:rPr>
        <w:t>2 weeks</w:t>
      </w:r>
    </w:p>
    <w:p w:rsidR="10E38692" w:rsidP="065FD309" w:rsidRDefault="10E38692" w14:paraId="281E5A2E" w14:textId="64B73C5B">
      <w:pPr>
        <w:pStyle w:val="ListParagraph"/>
        <w:numPr>
          <w:ilvl w:val="0"/>
          <w:numId w:val="13"/>
        </w:numPr>
        <w:spacing w:before="240" w:after="240"/>
        <w:rPr>
          <w:rFonts w:ascii="Aptos" w:hAnsi="Aptos" w:eastAsia="Aptos" w:cs="Aptos"/>
          <w:sz w:val="24"/>
          <w:szCs w:val="24"/>
        </w:rPr>
      </w:pPr>
      <w:r w:rsidRPr="065FD309" w:rsidR="10E38692">
        <w:rPr>
          <w:rFonts w:ascii="Aptos" w:hAnsi="Aptos" w:eastAsia="Aptos" w:cs="Aptos"/>
        </w:rPr>
        <w:t>lesion PCR‑/DGM‑ with high suspicion</w:t>
      </w:r>
      <w:r w:rsidRPr="065FD309" w:rsidR="4D43C8D5">
        <w:rPr>
          <w:rFonts w:ascii="Aptos" w:hAnsi="Aptos" w:eastAsia="Aptos" w:cs="Aptos"/>
        </w:rPr>
        <w:t xml:space="preserve"> &gt; </w:t>
      </w:r>
      <w:r w:rsidRPr="065FD309" w:rsidR="10E38692">
        <w:rPr>
          <w:rFonts w:ascii="Aptos" w:hAnsi="Aptos" w:eastAsia="Aptos" w:cs="Aptos"/>
          <w:b w:val="1"/>
          <w:bCs w:val="1"/>
        </w:rPr>
        <w:t>2 weeks</w:t>
      </w:r>
      <w:r w:rsidRPr="065FD309" w:rsidR="10E38692">
        <w:rPr>
          <w:rFonts w:ascii="Aptos" w:hAnsi="Aptos" w:eastAsia="Aptos" w:cs="Aptos"/>
        </w:rPr>
        <w:t xml:space="preserve">; </w:t>
      </w:r>
    </w:p>
    <w:p w:rsidR="10E38692" w:rsidP="065FD309" w:rsidRDefault="10E38692" w14:paraId="36212DC4" w14:textId="03933CCA">
      <w:pPr>
        <w:pStyle w:val="ListParagraph"/>
        <w:numPr>
          <w:ilvl w:val="0"/>
          <w:numId w:val="13"/>
        </w:numPr>
        <w:spacing w:before="240" w:after="240"/>
        <w:rPr>
          <w:rFonts w:ascii="Aptos" w:hAnsi="Aptos" w:eastAsia="Aptos" w:cs="Aptos"/>
          <w:sz w:val="24"/>
          <w:szCs w:val="24"/>
        </w:rPr>
      </w:pPr>
      <w:r w:rsidRPr="065FD309" w:rsidR="10E38692">
        <w:rPr>
          <w:rFonts w:ascii="Aptos" w:hAnsi="Aptos" w:eastAsia="Aptos" w:cs="Aptos"/>
        </w:rPr>
        <w:t xml:space="preserve">high‑risk exposure </w:t>
      </w:r>
      <w:r w:rsidRPr="065FD309" w:rsidR="0691BA6D">
        <w:rPr>
          <w:rFonts w:ascii="Aptos" w:hAnsi="Aptos" w:eastAsia="Aptos" w:cs="Aptos"/>
        </w:rPr>
        <w:t xml:space="preserve">&gt; </w:t>
      </w:r>
      <w:r w:rsidRPr="065FD309" w:rsidR="10E38692">
        <w:rPr>
          <w:rFonts w:ascii="Aptos" w:hAnsi="Aptos" w:eastAsia="Aptos" w:cs="Aptos"/>
        </w:rPr>
        <w:t>repeat</w:t>
      </w:r>
      <w:r w:rsidRPr="065FD309" w:rsidR="10E38692">
        <w:rPr>
          <w:rFonts w:ascii="Aptos" w:hAnsi="Aptos" w:eastAsia="Aptos" w:cs="Aptos"/>
        </w:rPr>
        <w:t xml:space="preserve"> at </w:t>
      </w:r>
      <w:r w:rsidRPr="065FD309" w:rsidR="10E38692">
        <w:rPr>
          <w:rFonts w:ascii="Aptos" w:hAnsi="Aptos" w:eastAsia="Aptos" w:cs="Aptos"/>
          <w:b w:val="1"/>
          <w:bCs w:val="1"/>
        </w:rPr>
        <w:t>3 months</w:t>
      </w:r>
      <w:r w:rsidRPr="065FD309" w:rsidR="10E38692">
        <w:rPr>
          <w:rFonts w:ascii="Aptos" w:hAnsi="Aptos" w:eastAsia="Aptos" w:cs="Aptos"/>
        </w:rPr>
        <w:t>. fileciteturn4file12</w:t>
      </w:r>
    </w:p>
    <w:p w:rsidR="10E38692" w:rsidP="27FB5717" w:rsidRDefault="10E38692" w14:paraId="3C1DE117" w14:textId="1CE88BE4">
      <w:pPr>
        <w:spacing w:before="240" w:after="240"/>
      </w:pPr>
      <w:r w:rsidRPr="065FD309" w:rsidR="10E38692">
        <w:rPr>
          <w:rFonts w:ascii="Aptos" w:hAnsi="Aptos" w:eastAsia="Aptos" w:cs="Aptos"/>
        </w:rPr>
        <w:t xml:space="preserve"> </w:t>
      </w:r>
      <w:r w:rsidRPr="065FD309" w:rsidR="10E38692">
        <w:rPr>
          <w:rFonts w:ascii="Aptos" w:hAnsi="Aptos" w:eastAsia="Aptos" w:cs="Aptos"/>
          <w:b w:val="1"/>
          <w:bCs w:val="1"/>
        </w:rPr>
        <w:t>Serology pitfalls</w:t>
      </w:r>
      <w:r w:rsidRPr="065FD309" w:rsidR="10E38692">
        <w:rPr>
          <w:rFonts w:ascii="Aptos" w:hAnsi="Aptos" w:eastAsia="Aptos" w:cs="Aptos"/>
        </w:rPr>
        <w:t xml:space="preserve"> – </w:t>
      </w:r>
    </w:p>
    <w:p w:rsidR="10E38692" w:rsidP="065FD309" w:rsidRDefault="10E38692" w14:paraId="084BCCAD" w14:textId="6D7ED823">
      <w:pPr>
        <w:pStyle w:val="ListParagraph"/>
        <w:numPr>
          <w:ilvl w:val="0"/>
          <w:numId w:val="14"/>
        </w:numPr>
        <w:spacing w:before="240" w:after="240"/>
        <w:rPr>
          <w:rFonts w:ascii="Aptos" w:hAnsi="Aptos" w:eastAsia="Aptos" w:cs="Aptos"/>
          <w:sz w:val="24"/>
          <w:szCs w:val="24"/>
        </w:rPr>
      </w:pPr>
      <w:r w:rsidRPr="065FD309" w:rsidR="10E38692">
        <w:rPr>
          <w:rFonts w:ascii="Aptos" w:hAnsi="Aptos" w:eastAsia="Aptos" w:cs="Aptos"/>
        </w:rPr>
        <w:t>False‑negatives in early infection (&lt;3 </w:t>
      </w:r>
      <w:r w:rsidRPr="065FD309" w:rsidR="10E38692">
        <w:rPr>
          <w:rFonts w:ascii="Aptos" w:hAnsi="Aptos" w:eastAsia="Aptos" w:cs="Aptos"/>
        </w:rPr>
        <w:t>mo</w:t>
      </w:r>
      <w:r w:rsidRPr="065FD309" w:rsidR="10E38692">
        <w:rPr>
          <w:rFonts w:ascii="Aptos" w:hAnsi="Aptos" w:eastAsia="Aptos" w:cs="Aptos"/>
        </w:rPr>
        <w:t xml:space="preserve">) or immunocompromise; </w:t>
      </w:r>
    </w:p>
    <w:p w:rsidR="10E38692" w:rsidP="065FD309" w:rsidRDefault="10E38692" w14:paraId="291A741D" w14:textId="74D68456">
      <w:pPr>
        <w:pStyle w:val="ListParagraph"/>
        <w:numPr>
          <w:ilvl w:val="0"/>
          <w:numId w:val="14"/>
        </w:numPr>
        <w:spacing w:before="240" w:after="240"/>
        <w:rPr>
          <w:rFonts w:ascii="Aptos" w:hAnsi="Aptos" w:eastAsia="Aptos" w:cs="Aptos"/>
          <w:sz w:val="24"/>
          <w:szCs w:val="24"/>
        </w:rPr>
      </w:pPr>
      <w:r w:rsidRPr="065FD309" w:rsidR="10E38692">
        <w:rPr>
          <w:rFonts w:ascii="Aptos" w:hAnsi="Aptos" w:eastAsia="Aptos" w:cs="Aptos"/>
        </w:rPr>
        <w:t>false‑positives in autoimmune disease, older age, people who inject drugs. fileciteturn4file12</w:t>
      </w:r>
    </w:p>
    <w:p w:rsidR="10E38692" w:rsidP="27FB5717" w:rsidRDefault="10E38692" w14:paraId="6BDBD154" w14:textId="6E965C25">
      <w:pPr>
        <w:spacing w:before="240" w:after="240"/>
      </w:pPr>
      <w:r w:rsidRPr="27FB5717">
        <w:rPr>
          <w:rFonts w:ascii="Aptos" w:hAnsi="Aptos" w:eastAsia="Aptos" w:cs="Aptos"/>
        </w:rPr>
        <w:t xml:space="preserve"> </w:t>
      </w:r>
      <w:r w:rsidRPr="27FB5717">
        <w:rPr>
          <w:rFonts w:ascii="Aptos" w:hAnsi="Aptos" w:eastAsia="Aptos" w:cs="Aptos"/>
          <w:b/>
          <w:bCs/>
        </w:rPr>
        <w:t>‘</w:t>
      </w:r>
      <w:proofErr w:type="spellStart"/>
      <w:r w:rsidRPr="27FB5717">
        <w:rPr>
          <w:rFonts w:ascii="Aptos" w:hAnsi="Aptos" w:eastAsia="Aptos" w:cs="Aptos"/>
          <w:b/>
          <w:bCs/>
        </w:rPr>
        <w:t>Serofast</w:t>
      </w:r>
      <w:proofErr w:type="spellEnd"/>
      <w:r w:rsidRPr="27FB5717">
        <w:rPr>
          <w:rFonts w:ascii="Aptos" w:hAnsi="Aptos" w:eastAsia="Aptos" w:cs="Aptos"/>
          <w:b/>
          <w:bCs/>
        </w:rPr>
        <w:t>’</w:t>
      </w:r>
      <w:r w:rsidRPr="27FB5717">
        <w:rPr>
          <w:rFonts w:ascii="Aptos" w:hAnsi="Aptos" w:eastAsia="Aptos" w:cs="Aptos"/>
        </w:rPr>
        <w:t xml:space="preserve"> – Low‑level persistent RPR after adequate therapy; no benefit from retreatment unless new evidence. fileciteturn4file18</w:t>
      </w:r>
    </w:p>
    <w:p w:rsidRPr="00B6717A" w:rsidR="10E38692" w:rsidP="27FB5717" w:rsidRDefault="10E38692" w14:paraId="282A1482" w14:textId="66684567">
      <w:pPr>
        <w:spacing w:before="240" w:after="240"/>
        <w:rPr>
          <w:b/>
          <w:bCs/>
        </w:rPr>
      </w:pPr>
      <w:r w:rsidRPr="00B6717A">
        <w:rPr>
          <w:rFonts w:ascii="Aptos" w:hAnsi="Aptos" w:eastAsia="Aptos" w:cs="Aptos"/>
          <w:b/>
          <w:bCs/>
        </w:rPr>
        <w:t>### </w:t>
      </w:r>
      <w:proofErr w:type="gramStart"/>
      <w:r w:rsidRPr="00B6717A">
        <w:rPr>
          <w:rFonts w:ascii="Aptos" w:hAnsi="Aptos" w:eastAsia="Aptos" w:cs="Aptos"/>
          <w:b/>
          <w:bCs/>
        </w:rPr>
        <w:t>5  CSF</w:t>
      </w:r>
      <w:proofErr w:type="gramEnd"/>
      <w:r w:rsidRPr="00B6717A">
        <w:rPr>
          <w:rFonts w:ascii="Aptos" w:hAnsi="Aptos" w:eastAsia="Aptos" w:cs="Aptos"/>
          <w:b/>
          <w:bCs/>
        </w:rPr>
        <w:t xml:space="preserve"> / neurosyphilis pearls</w:t>
      </w:r>
    </w:p>
    <w:p w:rsidR="10E38692" w:rsidP="27FB5717" w:rsidRDefault="10E38692" w14:paraId="402A856B" w14:textId="537C6D65">
      <w:pPr>
        <w:spacing w:before="240" w:after="240"/>
      </w:pPr>
      <w:r w:rsidRPr="27FB5717">
        <w:rPr>
          <w:rFonts w:ascii="Aptos" w:hAnsi="Aptos" w:eastAsia="Aptos" w:cs="Aptos"/>
        </w:rPr>
        <w:t xml:space="preserve"> Lumbar puncture </w:t>
      </w:r>
      <w:r w:rsidRPr="27FB5717">
        <w:rPr>
          <w:rFonts w:ascii="Aptos" w:hAnsi="Aptos" w:eastAsia="Aptos" w:cs="Aptos"/>
          <w:b/>
          <w:bCs/>
        </w:rPr>
        <w:t>only if neuro/ocular/</w:t>
      </w:r>
      <w:proofErr w:type="spellStart"/>
      <w:r w:rsidRPr="27FB5717">
        <w:rPr>
          <w:rFonts w:ascii="Aptos" w:hAnsi="Aptos" w:eastAsia="Aptos" w:cs="Aptos"/>
          <w:b/>
          <w:bCs/>
        </w:rPr>
        <w:t>otological</w:t>
      </w:r>
      <w:proofErr w:type="spellEnd"/>
      <w:r w:rsidRPr="27FB5717">
        <w:rPr>
          <w:rFonts w:ascii="Aptos" w:hAnsi="Aptos" w:eastAsia="Aptos" w:cs="Aptos"/>
          <w:b/>
          <w:bCs/>
        </w:rPr>
        <w:t xml:space="preserve"> symptoms</w:t>
      </w:r>
      <w:r w:rsidRPr="27FB5717">
        <w:rPr>
          <w:rFonts w:ascii="Aptos" w:hAnsi="Aptos" w:eastAsia="Aptos" w:cs="Aptos"/>
        </w:rPr>
        <w:t xml:space="preserve"> or </w:t>
      </w:r>
      <w:r w:rsidRPr="00200A3A">
        <w:rPr>
          <w:rFonts w:ascii="Aptos" w:hAnsi="Aptos" w:eastAsia="Aptos" w:cs="Aptos"/>
          <w:b/>
          <w:bCs/>
        </w:rPr>
        <w:t>serological treatment failure</w:t>
      </w:r>
      <w:r w:rsidRPr="27FB5717">
        <w:rPr>
          <w:rFonts w:ascii="Aptos" w:hAnsi="Aptos" w:eastAsia="Aptos" w:cs="Aptos"/>
        </w:rPr>
        <w:t>. fileciteturn4file19</w:t>
      </w:r>
    </w:p>
    <w:p w:rsidR="10E38692" w:rsidP="27FB5717" w:rsidRDefault="10E38692" w14:paraId="1EA03BC4" w14:textId="569BF40F">
      <w:pPr>
        <w:spacing w:before="240" w:after="240"/>
      </w:pPr>
      <w:r w:rsidRPr="27FB5717">
        <w:rPr>
          <w:rFonts w:ascii="Aptos" w:hAnsi="Aptos" w:eastAsia="Aptos" w:cs="Aptos"/>
        </w:rPr>
        <w:t xml:space="preserve"> </w:t>
      </w:r>
      <w:r w:rsidRPr="27FB5717">
        <w:rPr>
          <w:rFonts w:ascii="Aptos" w:hAnsi="Aptos" w:eastAsia="Aptos" w:cs="Aptos"/>
          <w:b/>
          <w:bCs/>
        </w:rPr>
        <w:t>CSF criteria supporting neurosyphilis</w:t>
      </w:r>
      <w:r w:rsidRPr="27FB5717">
        <w:rPr>
          <w:rFonts w:ascii="Aptos" w:hAnsi="Aptos" w:eastAsia="Aptos" w:cs="Aptos"/>
        </w:rPr>
        <w:t>: protein &gt; 0.45 g/L; WCC &gt; 5 cells/µL (HIV‑negative) or &gt; 20 cells/µL (untreated HIV); RPR + or TPHA &gt; 1:320. fileciteturn4file16</w:t>
      </w:r>
    </w:p>
    <w:p w:rsidR="10E38692" w:rsidP="27FB5717" w:rsidRDefault="10E38692" w14:paraId="6017BF88" w14:textId="7A4A8760">
      <w:pPr>
        <w:spacing w:before="240" w:after="240"/>
      </w:pPr>
      <w:r w:rsidRPr="27FB5717">
        <w:rPr>
          <w:rFonts w:ascii="Aptos" w:hAnsi="Aptos" w:eastAsia="Aptos" w:cs="Aptos"/>
        </w:rPr>
        <w:t xml:space="preserve"> Refer early to ophthalmology / ENT / cardiology if relevant symptoms. fileciteturn4file15</w:t>
      </w:r>
    </w:p>
    <w:p w:rsidR="00CB2C9D" w:rsidP="065FD309" w:rsidRDefault="00CB2C9D" w14:paraId="123C974E" w14:noSpellErr="1" w14:textId="61204B1F">
      <w:pPr>
        <w:pStyle w:val="Normal"/>
        <w:spacing w:before="240" w:after="240"/>
        <w:rPr>
          <w:rFonts w:ascii="Aptos" w:hAnsi="Aptos" w:eastAsia="Aptos" w:cs="Aptos"/>
        </w:rPr>
        <w:sectPr w:rsidR="00CB2C9D" w:rsidSect="00C105AA">
          <w:pgSz w:w="11906" w:h="16838" w:orient="portrait"/>
          <w:pgMar w:top="720" w:right="720" w:bottom="720" w:left="720" w:header="720" w:footer="720" w:gutter="0"/>
          <w:cols w:space="720"/>
          <w:docGrid w:linePitch="360"/>
        </w:sectPr>
      </w:pPr>
    </w:p>
    <w:p w:rsidRPr="00060592" w:rsidR="10E38692" w:rsidP="27FB5717" w:rsidRDefault="10E38692" w14:paraId="7C55E9B1" w14:textId="1A6A0FFD">
      <w:pPr>
        <w:spacing w:before="240" w:after="240"/>
        <w:rPr>
          <w:b/>
          <w:bCs/>
        </w:rPr>
      </w:pPr>
      <w:r w:rsidRPr="00060592">
        <w:rPr>
          <w:rFonts w:ascii="Aptos" w:hAnsi="Aptos" w:eastAsia="Aptos" w:cs="Aptos"/>
          <w:b/>
          <w:bCs/>
        </w:rPr>
        <w:lastRenderedPageBreak/>
        <w:t>### </w:t>
      </w:r>
      <w:proofErr w:type="gramStart"/>
      <w:r w:rsidRPr="00060592">
        <w:rPr>
          <w:rFonts w:ascii="Aptos" w:hAnsi="Aptos" w:eastAsia="Aptos" w:cs="Aptos"/>
          <w:b/>
          <w:bCs/>
        </w:rPr>
        <w:t>6  Antimicrobial</w:t>
      </w:r>
      <w:proofErr w:type="gramEnd"/>
      <w:r w:rsidRPr="00060592">
        <w:rPr>
          <w:rFonts w:ascii="Aptos" w:hAnsi="Aptos" w:eastAsia="Aptos" w:cs="Aptos"/>
          <w:b/>
          <w:bCs/>
        </w:rPr>
        <w:t xml:space="preserve"> therapy (memorise doses)</w:t>
      </w:r>
    </w:p>
    <w:tbl>
      <w:tblPr>
        <w:tblW w:w="160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6A0" w:firstRow="1" w:lastRow="0" w:firstColumn="1" w:lastColumn="0" w:noHBand="1" w:noVBand="1"/>
      </w:tblPr>
      <w:tblGrid>
        <w:gridCol w:w="4678"/>
        <w:gridCol w:w="4961"/>
        <w:gridCol w:w="4111"/>
        <w:gridCol w:w="2268"/>
      </w:tblGrid>
      <w:tr w:rsidR="27FB5717" w:rsidTr="539D7A1F" w14:paraId="6F930C82" w14:textId="77777777">
        <w:trPr>
          <w:trHeight w:val="300"/>
        </w:trPr>
        <w:tc>
          <w:tcPr>
            <w:tcW w:w="4678" w:type="dxa"/>
            <w:tcMar/>
            <w:vAlign w:val="center"/>
          </w:tcPr>
          <w:p w:rsidR="27FB5717" w:rsidP="00CB2BA0" w:rsidRDefault="27FB5717" w14:paraId="5DAEC4C6" w14:textId="4187CE36">
            <w:pPr>
              <w:spacing w:after="0"/>
            </w:pPr>
            <w:r w:rsidRPr="27FB5717">
              <w:rPr>
                <w:b/>
                <w:bCs/>
              </w:rPr>
              <w:t>Scenario</w:t>
            </w:r>
          </w:p>
        </w:tc>
        <w:tc>
          <w:tcPr>
            <w:tcW w:w="4961" w:type="dxa"/>
            <w:tcMar/>
            <w:vAlign w:val="center"/>
          </w:tcPr>
          <w:p w:rsidR="27FB5717" w:rsidP="00CB2BA0" w:rsidRDefault="27FB5717" w14:paraId="3D3228E3" w14:textId="58A06B20">
            <w:pPr>
              <w:spacing w:after="0"/>
            </w:pPr>
            <w:r w:rsidRPr="27FB5717">
              <w:rPr>
                <w:b/>
                <w:bCs/>
              </w:rPr>
              <w:t>First‑line</w:t>
            </w:r>
          </w:p>
        </w:tc>
        <w:tc>
          <w:tcPr>
            <w:tcW w:w="4111" w:type="dxa"/>
            <w:tcMar/>
            <w:vAlign w:val="center"/>
          </w:tcPr>
          <w:p w:rsidR="27FB5717" w:rsidP="00CB2BA0" w:rsidRDefault="27FB5717" w14:paraId="58EF20C5" w14:textId="50DB65E6">
            <w:pPr>
              <w:spacing w:after="0"/>
            </w:pPr>
            <w:r w:rsidRPr="27FB5717">
              <w:rPr>
                <w:b/>
                <w:bCs/>
              </w:rPr>
              <w:t>Key alternatives</w:t>
            </w:r>
          </w:p>
        </w:tc>
        <w:tc>
          <w:tcPr>
            <w:tcW w:w="2268" w:type="dxa"/>
            <w:tcMar/>
            <w:vAlign w:val="center"/>
          </w:tcPr>
          <w:p w:rsidR="27FB5717" w:rsidP="00CB2BA0" w:rsidRDefault="27FB5717" w14:paraId="79389AFF" w14:textId="73E96EEE">
            <w:pPr>
              <w:spacing w:after="0"/>
            </w:pPr>
            <w:r w:rsidRPr="27FB5717">
              <w:rPr>
                <w:b/>
                <w:bCs/>
              </w:rPr>
              <w:t>Notes</w:t>
            </w:r>
          </w:p>
        </w:tc>
      </w:tr>
      <w:tr w:rsidR="27FB5717" w:rsidTr="539D7A1F" w14:paraId="53CD7B7C" w14:textId="77777777">
        <w:trPr>
          <w:trHeight w:val="300"/>
        </w:trPr>
        <w:tc>
          <w:tcPr>
            <w:tcW w:w="4678" w:type="dxa"/>
            <w:tcMar/>
            <w:vAlign w:val="center"/>
          </w:tcPr>
          <w:p w:rsidR="27FB5717" w:rsidP="00CB2BA0" w:rsidRDefault="27FB5717" w14:paraId="17BBEF32" w14:textId="73FB6105">
            <w:pPr>
              <w:spacing w:after="0"/>
            </w:pPr>
            <w:r>
              <w:t>Incubating / epidemiological</w:t>
            </w:r>
          </w:p>
        </w:tc>
        <w:tc>
          <w:tcPr>
            <w:tcW w:w="4961" w:type="dxa"/>
            <w:tcMar/>
            <w:vAlign w:val="center"/>
          </w:tcPr>
          <w:p w:rsidR="27FB5717" w:rsidP="00CB2BA0" w:rsidRDefault="27FB5717" w14:paraId="33224B2C" w14:textId="6CCAA280">
            <w:pPr>
              <w:spacing w:after="0"/>
            </w:pPr>
            <w:r>
              <w:t>BP 2.4 MU IM ×1</w:t>
            </w:r>
          </w:p>
        </w:tc>
        <w:tc>
          <w:tcPr>
            <w:tcW w:w="4111" w:type="dxa"/>
            <w:tcMar/>
            <w:vAlign w:val="center"/>
          </w:tcPr>
          <w:p w:rsidR="27FB5717" w:rsidP="00CB2BA0" w:rsidRDefault="27FB5717" w14:paraId="0AF205E3" w14:textId="4BAEFDE9">
            <w:pPr>
              <w:spacing w:after="0"/>
            </w:pPr>
            <w:r>
              <w:t>Doxy 100 mg BD 14 d</w:t>
            </w:r>
          </w:p>
        </w:tc>
        <w:tc>
          <w:tcPr>
            <w:tcW w:w="2268" w:type="dxa"/>
            <w:tcMar/>
            <w:vAlign w:val="center"/>
          </w:tcPr>
          <w:p w:rsidR="27FB5717" w:rsidP="00CB2BA0" w:rsidRDefault="27FB5717" w14:paraId="7FAC8E8B" w14:textId="3E1DAF5A"/>
        </w:tc>
      </w:tr>
      <w:tr w:rsidR="00607CBA" w:rsidTr="539D7A1F" w14:paraId="34A3ABB3" w14:textId="77777777">
        <w:trPr>
          <w:trHeight w:val="300"/>
        </w:trPr>
        <w:tc>
          <w:tcPr>
            <w:tcW w:w="16018" w:type="dxa"/>
            <w:gridSpan w:val="4"/>
            <w:tcMar/>
            <w:vAlign w:val="center"/>
          </w:tcPr>
          <w:p w:rsidR="00607CBA" w:rsidP="00CB2BA0" w:rsidRDefault="00607CBA" w14:paraId="48670E7D" w14:textId="77777777"/>
        </w:tc>
      </w:tr>
      <w:tr w:rsidR="27FB5717" w:rsidTr="539D7A1F" w14:paraId="76E8A995" w14:textId="77777777">
        <w:trPr>
          <w:trHeight w:val="300"/>
        </w:trPr>
        <w:tc>
          <w:tcPr>
            <w:tcW w:w="4678" w:type="dxa"/>
            <w:tcMar/>
            <w:vAlign w:val="center"/>
          </w:tcPr>
          <w:p w:rsidR="27FB5717" w:rsidP="00CB2BA0" w:rsidRDefault="27FB5717" w14:paraId="10E6B370" w14:textId="36C264D8">
            <w:pPr>
              <w:spacing w:after="0"/>
            </w:pPr>
            <w:r>
              <w:t>Early syphilis</w:t>
            </w:r>
          </w:p>
        </w:tc>
        <w:tc>
          <w:tcPr>
            <w:tcW w:w="4961" w:type="dxa"/>
            <w:tcMar/>
            <w:vAlign w:val="center"/>
          </w:tcPr>
          <w:p w:rsidR="27FB5717" w:rsidP="00CB2BA0" w:rsidRDefault="27FB5717" w14:paraId="61CE6F48" w14:textId="2821966B">
            <w:pPr>
              <w:spacing w:after="0"/>
            </w:pPr>
            <w:r>
              <w:t>BP 2.4 MU IM ×1</w:t>
            </w:r>
          </w:p>
        </w:tc>
        <w:tc>
          <w:tcPr>
            <w:tcW w:w="4111" w:type="dxa"/>
            <w:tcMar/>
            <w:vAlign w:val="center"/>
          </w:tcPr>
          <w:p w:rsidR="27FB5717" w:rsidP="00CB2BA0" w:rsidRDefault="27FB5717" w14:paraId="70266A67" w14:textId="0881CEA0">
            <w:pPr>
              <w:spacing w:after="0"/>
            </w:pPr>
            <w:r>
              <w:t>Procaine Pen 600 000 U IM OD 10 d; Doxy 100 mg BD 14 d; Ceftriaxone 0.5–1 g IM/IV OD 10 d</w:t>
            </w:r>
          </w:p>
        </w:tc>
        <w:tc>
          <w:tcPr>
            <w:tcW w:w="2268" w:type="dxa"/>
            <w:tcMar/>
            <w:vAlign w:val="center"/>
          </w:tcPr>
          <w:p w:rsidR="27FB5717" w:rsidP="00CB2BA0" w:rsidRDefault="27FB5717" w14:paraId="267CEBC8" w14:textId="620805F8"/>
        </w:tc>
      </w:tr>
      <w:tr w:rsidR="00607CBA" w:rsidTr="539D7A1F" w14:paraId="1CE82AFE" w14:textId="77777777">
        <w:trPr>
          <w:trHeight w:val="300"/>
        </w:trPr>
        <w:tc>
          <w:tcPr>
            <w:tcW w:w="16018" w:type="dxa"/>
            <w:gridSpan w:val="4"/>
            <w:tcMar/>
            <w:vAlign w:val="center"/>
          </w:tcPr>
          <w:p w:rsidR="00607CBA" w:rsidP="00CB2BA0" w:rsidRDefault="00607CBA" w14:paraId="2AD3DD93" w14:textId="77777777"/>
        </w:tc>
      </w:tr>
      <w:tr w:rsidR="27FB5717" w:rsidTr="539D7A1F" w14:paraId="5D166AF0" w14:textId="77777777">
        <w:trPr>
          <w:trHeight w:val="300"/>
        </w:trPr>
        <w:tc>
          <w:tcPr>
            <w:tcW w:w="4678" w:type="dxa"/>
            <w:tcMar/>
            <w:vAlign w:val="center"/>
          </w:tcPr>
          <w:p w:rsidR="27FB5717" w:rsidP="00CB2BA0" w:rsidRDefault="27FB5717" w14:paraId="7524F586" w14:textId="4B4CB8B6">
            <w:pPr>
              <w:spacing w:after="0"/>
            </w:pPr>
            <w:r>
              <w:t xml:space="preserve">Late latent / cardiovascular / </w:t>
            </w:r>
            <w:proofErr w:type="spellStart"/>
            <w:r>
              <w:t>gummata</w:t>
            </w:r>
            <w:proofErr w:type="spellEnd"/>
          </w:p>
        </w:tc>
        <w:tc>
          <w:tcPr>
            <w:tcW w:w="4961" w:type="dxa"/>
            <w:tcMar/>
            <w:vAlign w:val="center"/>
          </w:tcPr>
          <w:p w:rsidR="27FB5717" w:rsidP="00CB2BA0" w:rsidRDefault="27FB5717" w14:paraId="66D5790E" w14:textId="19115032">
            <w:pPr>
              <w:spacing w:after="0"/>
            </w:pPr>
            <w:r>
              <w:t>BP 2.4 MU IM weekly ×3</w:t>
            </w:r>
          </w:p>
        </w:tc>
        <w:tc>
          <w:tcPr>
            <w:tcW w:w="4111" w:type="dxa"/>
            <w:tcMar/>
            <w:vAlign w:val="center"/>
          </w:tcPr>
          <w:p w:rsidR="27FB5717" w:rsidP="00CB2BA0" w:rsidRDefault="27FB5717" w14:paraId="6A2495F2" w14:textId="6DAA4F57">
            <w:pPr>
              <w:spacing w:after="0"/>
            </w:pPr>
            <w:r>
              <w:t xml:space="preserve">Doxy 100 mg BD 28 d; </w:t>
            </w:r>
            <w:proofErr w:type="spellStart"/>
            <w:r>
              <w:t>Amox</w:t>
            </w:r>
            <w:proofErr w:type="spellEnd"/>
            <w:r>
              <w:t> 2 g TDS + Probenecid QDS 28 d; Ceftriaxone 2 g OD 10–14 d</w:t>
            </w:r>
          </w:p>
        </w:tc>
        <w:tc>
          <w:tcPr>
            <w:tcW w:w="2268" w:type="dxa"/>
            <w:tcMar/>
            <w:vAlign w:val="center"/>
          </w:tcPr>
          <w:p w:rsidR="27FB5717" w:rsidP="00CB2BA0" w:rsidRDefault="27FB5717" w14:paraId="537B749E" w14:textId="7A1B852B"/>
        </w:tc>
      </w:tr>
      <w:tr w:rsidR="00607CBA" w:rsidTr="539D7A1F" w14:paraId="584FC1B4" w14:textId="77777777">
        <w:trPr>
          <w:trHeight w:val="300"/>
        </w:trPr>
        <w:tc>
          <w:tcPr>
            <w:tcW w:w="16018" w:type="dxa"/>
            <w:gridSpan w:val="4"/>
            <w:tcMar/>
            <w:vAlign w:val="center"/>
          </w:tcPr>
          <w:p w:rsidR="00607CBA" w:rsidP="00CB2BA0" w:rsidRDefault="00607CBA" w14:paraId="24E09F66" w14:textId="77777777">
            <w:pPr>
              <w:spacing w:after="0"/>
            </w:pPr>
          </w:p>
        </w:tc>
      </w:tr>
      <w:tr w:rsidR="27FB5717" w:rsidTr="539D7A1F" w14:paraId="05AF925D" w14:textId="77777777">
        <w:trPr>
          <w:trHeight w:val="300"/>
        </w:trPr>
        <w:tc>
          <w:tcPr>
            <w:tcW w:w="4678" w:type="dxa"/>
            <w:tcMar/>
            <w:vAlign w:val="center"/>
          </w:tcPr>
          <w:p w:rsidR="27FB5717" w:rsidP="00CB2BA0" w:rsidRDefault="27FB5717" w14:paraId="2FF6D42E" w14:textId="626D9CA1">
            <w:pPr>
              <w:spacing w:after="0"/>
            </w:pPr>
            <w:r w:rsidRPr="27FB5717">
              <w:rPr>
                <w:b/>
                <w:bCs/>
              </w:rPr>
              <w:t>Neurosyphilis</w:t>
            </w:r>
          </w:p>
        </w:tc>
        <w:tc>
          <w:tcPr>
            <w:tcW w:w="4961" w:type="dxa"/>
            <w:tcMar/>
            <w:vAlign w:val="center"/>
          </w:tcPr>
          <w:p w:rsidR="27FB5717" w:rsidP="00CB2BA0" w:rsidRDefault="27FB5717" w14:paraId="073B6857" w14:textId="0F5E4A9B">
            <w:pPr>
              <w:spacing w:after="0"/>
            </w:pPr>
            <w:r w:rsidR="27FB5717">
              <w:rPr/>
              <w:t>Procaine Pen 1.8–2.4 MU</w:t>
            </w:r>
            <w:r w:rsidR="00CB2C9D">
              <w:rPr/>
              <w:t xml:space="preserve"> I</w:t>
            </w:r>
            <w:r w:rsidR="27FB5717">
              <w:rPr/>
              <w:t xml:space="preserve">M OD + Probenecid 500 mg QDS 14 d </w:t>
            </w:r>
            <w:r w:rsidRPr="539D7A1F" w:rsidR="27FB5717">
              <w:rPr>
                <w:b w:val="1"/>
                <w:bCs w:val="1"/>
              </w:rPr>
              <w:t>or</w:t>
            </w:r>
            <w:r w:rsidR="27FB5717">
              <w:rPr/>
              <w:t xml:space="preserve"> </w:t>
            </w:r>
            <w:r w:rsidR="7AF3BA5F">
              <w:rPr/>
              <w:t>n</w:t>
            </w:r>
            <w:r w:rsidR="27FB5717">
              <w:rPr/>
              <w:t>Benzylpenicillin 1.8–2.4 g IV 6‑hourly 14 d</w:t>
            </w:r>
          </w:p>
        </w:tc>
        <w:tc>
          <w:tcPr>
            <w:tcW w:w="4111" w:type="dxa"/>
            <w:tcMar/>
            <w:vAlign w:val="center"/>
          </w:tcPr>
          <w:p w:rsidR="27FB5717" w:rsidP="00CB2BA0" w:rsidRDefault="27FB5717" w14:paraId="6D80A4DE" w14:textId="74D2B179">
            <w:pPr>
              <w:spacing w:after="0"/>
            </w:pPr>
            <w:r>
              <w:t>Ceftriaxone 2 g OD 10–14 d; Doxy 200 mg BD 28 d</w:t>
            </w:r>
          </w:p>
        </w:tc>
        <w:tc>
          <w:tcPr>
            <w:tcW w:w="2268" w:type="dxa"/>
            <w:tcMar/>
            <w:vAlign w:val="center"/>
          </w:tcPr>
          <w:p w:rsidR="27FB5717" w:rsidP="00CB2BA0" w:rsidRDefault="27FB5717" w14:paraId="4539BB17" w14:textId="5603E7A3">
            <w:pPr>
              <w:spacing w:after="0"/>
            </w:pPr>
            <w:r>
              <w:t xml:space="preserve">Restart if &gt;24 h gap; never use benzathine here. </w:t>
            </w:r>
          </w:p>
        </w:tc>
      </w:tr>
    </w:tbl>
    <w:p w:rsidR="10E38692" w:rsidP="27FB5717" w:rsidRDefault="10E38692" w14:paraId="70701D65" w14:textId="1042E1A2">
      <w:pPr>
        <w:spacing w:before="240" w:after="240"/>
      </w:pPr>
      <w:r w:rsidRPr="27FB5717">
        <w:rPr>
          <w:rFonts w:ascii="Aptos" w:hAnsi="Aptos" w:eastAsia="Aptos" w:cs="Aptos"/>
          <w:b/>
          <w:bCs/>
        </w:rPr>
        <w:t>Penicillin allergy</w:t>
      </w:r>
      <w:r w:rsidRPr="27FB5717">
        <w:rPr>
          <w:rFonts w:ascii="Aptos" w:hAnsi="Aptos" w:eastAsia="Aptos" w:cs="Aptos"/>
        </w:rPr>
        <w:t xml:space="preserve"> – Take detailed history; most labelled allergies are not true. Perform skin testing; if positive, desensitise </w:t>
      </w:r>
      <w:r w:rsidRPr="27FB5717">
        <w:rPr>
          <w:rFonts w:ascii="Aptos" w:hAnsi="Aptos" w:eastAsia="Aptos" w:cs="Aptos"/>
          <w:b/>
          <w:bCs/>
        </w:rPr>
        <w:t>in a setting with resus kit</w:t>
      </w:r>
      <w:r w:rsidRPr="27FB5717">
        <w:rPr>
          <w:rFonts w:ascii="Aptos" w:hAnsi="Aptos" w:eastAsia="Aptos" w:cs="Aptos"/>
        </w:rPr>
        <w:t>. Patients with soya/peanut allergy: avoid benzathine, use procaine penicillin or ceftriaxone. fileciteturn4file4turn4file6</w:t>
      </w:r>
    </w:p>
    <w:p w:rsidR="00CB2C9D" w:rsidP="10104186" w:rsidRDefault="00CB2C9D" w14:paraId="39855956" w14:textId="7904A478">
      <w:pPr>
        <w:pStyle w:val="Normal"/>
        <w:spacing w:before="240" w:after="240"/>
        <w:rPr>
          <w:rFonts w:ascii="Aptos" w:hAnsi="Aptos" w:eastAsia="Aptos" w:cs="Aptos"/>
        </w:rPr>
        <w:sectPr w:rsidR="00CB2C9D" w:rsidSect="00CB2C9D">
          <w:pgSz w:w="16838" w:h="11906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Pr="00060592" w:rsidR="10E38692" w:rsidP="27FB5717" w:rsidRDefault="10E38692" w14:paraId="67D726BF" w14:textId="3ECBAD9B">
      <w:pPr>
        <w:spacing w:before="240" w:after="240"/>
        <w:rPr>
          <w:b/>
          <w:bCs/>
        </w:rPr>
      </w:pPr>
      <w:r w:rsidRPr="00060592">
        <w:rPr>
          <w:rFonts w:ascii="Aptos" w:hAnsi="Aptos" w:eastAsia="Aptos" w:cs="Aptos"/>
          <w:b/>
          <w:bCs/>
        </w:rPr>
        <w:lastRenderedPageBreak/>
        <w:t>### </w:t>
      </w:r>
      <w:proofErr w:type="gramStart"/>
      <w:r w:rsidRPr="00060592">
        <w:rPr>
          <w:rFonts w:ascii="Aptos" w:hAnsi="Aptos" w:eastAsia="Aptos" w:cs="Aptos"/>
          <w:b/>
          <w:bCs/>
        </w:rPr>
        <w:t xml:space="preserve">7  </w:t>
      </w:r>
      <w:proofErr w:type="spellStart"/>
      <w:r w:rsidRPr="00060592">
        <w:rPr>
          <w:rFonts w:ascii="Aptos" w:hAnsi="Aptos" w:eastAsia="Aptos" w:cs="Aptos"/>
          <w:b/>
          <w:bCs/>
        </w:rPr>
        <w:t>Jarisch</w:t>
      </w:r>
      <w:proofErr w:type="spellEnd"/>
      <w:proofErr w:type="gramEnd"/>
      <w:r w:rsidRPr="00060592">
        <w:rPr>
          <w:rFonts w:ascii="Aptos" w:hAnsi="Aptos" w:eastAsia="Aptos" w:cs="Aptos"/>
          <w:b/>
          <w:bCs/>
        </w:rPr>
        <w:t>–Herxheimer &amp; injection practicalities</w:t>
      </w:r>
    </w:p>
    <w:p w:rsidR="10E38692" w:rsidP="27FB5717" w:rsidRDefault="10E38692" w14:paraId="5B509054" w14:textId="28B15CCC">
      <w:pPr>
        <w:spacing w:before="240" w:after="240"/>
      </w:pPr>
      <w:r w:rsidRPr="27FB5717">
        <w:rPr>
          <w:rFonts w:ascii="Aptos" w:hAnsi="Aptos" w:eastAsia="Aptos" w:cs="Aptos"/>
        </w:rPr>
        <w:t xml:space="preserve"> • Warn patients; observe 15 min after first injection; resus facilities on hand.</w:t>
      </w:r>
    </w:p>
    <w:p w:rsidR="10E38692" w:rsidP="27FB5717" w:rsidRDefault="10E38692" w14:paraId="12C41015" w14:textId="76BBCFB2">
      <w:pPr>
        <w:spacing w:before="240" w:after="240"/>
      </w:pPr>
      <w:r w:rsidRPr="27FB5717">
        <w:rPr>
          <w:rFonts w:ascii="Aptos" w:hAnsi="Aptos" w:eastAsia="Aptos" w:cs="Aptos"/>
        </w:rPr>
        <w:t xml:space="preserve"> • Prednisolone 40–60 mg OD for 3 d starting 24 h pre‑therapy for neuro/cardiac/ocular disease.</w:t>
      </w:r>
    </w:p>
    <w:p w:rsidR="10E38692" w:rsidP="27FB5717" w:rsidRDefault="10E38692" w14:paraId="7FB4BD7C" w14:textId="47453A4C">
      <w:pPr>
        <w:spacing w:before="240" w:after="240"/>
      </w:pPr>
      <w:r w:rsidRPr="27FB5717">
        <w:rPr>
          <w:rFonts w:ascii="Aptos" w:hAnsi="Aptos" w:eastAsia="Aptos" w:cs="Aptos"/>
        </w:rPr>
        <w:t xml:space="preserve"> • BP diluted with lidocaine improves tolerability; gaps ≤14 d between late‑syphilis BP doses acceptable. fileciteturn4file5</w:t>
      </w:r>
    </w:p>
    <w:p w:rsidRPr="00060592" w:rsidR="10E38692" w:rsidP="27FB5717" w:rsidRDefault="10E38692" w14:paraId="3B3FC06E" w14:textId="0FF2B488">
      <w:pPr>
        <w:spacing w:before="240" w:after="240"/>
        <w:rPr>
          <w:b/>
          <w:bCs/>
        </w:rPr>
      </w:pPr>
      <w:r w:rsidRPr="00060592">
        <w:rPr>
          <w:rFonts w:ascii="Aptos" w:hAnsi="Aptos" w:eastAsia="Aptos" w:cs="Aptos"/>
          <w:b/>
          <w:bCs/>
        </w:rPr>
        <w:t>### </w:t>
      </w:r>
      <w:proofErr w:type="gramStart"/>
      <w:r w:rsidRPr="00060592">
        <w:rPr>
          <w:rFonts w:ascii="Aptos" w:hAnsi="Aptos" w:eastAsia="Aptos" w:cs="Aptos"/>
          <w:b/>
          <w:bCs/>
        </w:rPr>
        <w:t>8  Advice</w:t>
      </w:r>
      <w:proofErr w:type="gramEnd"/>
      <w:r w:rsidRPr="00060592">
        <w:rPr>
          <w:rFonts w:ascii="Aptos" w:hAnsi="Aptos" w:eastAsia="Aptos" w:cs="Aptos"/>
          <w:b/>
          <w:bCs/>
        </w:rPr>
        <w:t xml:space="preserve"> to patients</w:t>
      </w:r>
    </w:p>
    <w:p w:rsidR="10E38692" w:rsidP="27FB5717" w:rsidRDefault="10E38692" w14:paraId="538DDD04" w14:textId="6F95EF48">
      <w:pPr>
        <w:spacing w:before="240" w:after="240"/>
      </w:pPr>
      <w:r w:rsidRPr="27FB5717">
        <w:rPr>
          <w:rFonts w:ascii="Aptos" w:hAnsi="Aptos" w:eastAsia="Aptos" w:cs="Aptos"/>
        </w:rPr>
        <w:t xml:space="preserve"> • Abstain from sexual contact </w:t>
      </w:r>
      <w:r w:rsidRPr="27FB5717">
        <w:rPr>
          <w:rFonts w:ascii="Aptos" w:hAnsi="Aptos" w:eastAsia="Aptos" w:cs="Aptos"/>
          <w:b/>
          <w:bCs/>
        </w:rPr>
        <w:t>until lesions healed or 2 weeks after completing treatment</w:t>
      </w:r>
      <w:r w:rsidRPr="27FB5717">
        <w:rPr>
          <w:rFonts w:ascii="Aptos" w:hAnsi="Aptos" w:eastAsia="Aptos" w:cs="Aptos"/>
        </w:rPr>
        <w:t>. fileciteturn4file10</w:t>
      </w:r>
    </w:p>
    <w:p w:rsidR="10E38692" w:rsidP="27FB5717" w:rsidRDefault="10E38692" w14:paraId="65D4D618" w14:textId="6EA5A071">
      <w:pPr>
        <w:spacing w:before="240" w:after="240"/>
      </w:pPr>
      <w:r w:rsidRPr="27FB5717">
        <w:rPr>
          <w:rFonts w:ascii="Aptos" w:hAnsi="Aptos" w:eastAsia="Aptos" w:cs="Aptos"/>
        </w:rPr>
        <w:t xml:space="preserve"> • Screen for other STIs, offer hepatitis B / HPV vaccines, discuss </w:t>
      </w:r>
      <w:proofErr w:type="spellStart"/>
      <w:r w:rsidRPr="27FB5717">
        <w:rPr>
          <w:rFonts w:ascii="Aptos" w:hAnsi="Aptos" w:eastAsia="Aptos" w:cs="Aptos"/>
        </w:rPr>
        <w:t>PrEP</w:t>
      </w:r>
      <w:proofErr w:type="spellEnd"/>
      <w:r w:rsidRPr="27FB5717">
        <w:rPr>
          <w:rFonts w:ascii="Aptos" w:hAnsi="Aptos" w:eastAsia="Aptos" w:cs="Aptos"/>
        </w:rPr>
        <w:t xml:space="preserve"> where appropriate.</w:t>
      </w:r>
    </w:p>
    <w:p w:rsidRPr="00060592" w:rsidR="10E38692" w:rsidP="27FB5717" w:rsidRDefault="10E38692" w14:paraId="68F09206" w14:textId="4526CD0A">
      <w:pPr>
        <w:spacing w:before="240" w:after="240"/>
        <w:rPr>
          <w:b/>
          <w:bCs/>
        </w:rPr>
      </w:pPr>
      <w:r w:rsidRPr="00060592">
        <w:rPr>
          <w:rFonts w:ascii="Aptos" w:hAnsi="Aptos" w:eastAsia="Aptos" w:cs="Aptos"/>
          <w:b/>
          <w:bCs/>
        </w:rPr>
        <w:t>### </w:t>
      </w:r>
      <w:proofErr w:type="gramStart"/>
      <w:r w:rsidRPr="00060592">
        <w:rPr>
          <w:rFonts w:ascii="Aptos" w:hAnsi="Aptos" w:eastAsia="Aptos" w:cs="Aptos"/>
          <w:b/>
          <w:bCs/>
        </w:rPr>
        <w:t>9  Follow</w:t>
      </w:r>
      <w:proofErr w:type="gramEnd"/>
      <w:r w:rsidRPr="00060592">
        <w:rPr>
          <w:rFonts w:ascii="Aptos" w:hAnsi="Aptos" w:eastAsia="Aptos" w:cs="Aptos"/>
          <w:b/>
          <w:bCs/>
        </w:rPr>
        <w:t>‑up / test‑of‑cure</w:t>
      </w:r>
    </w:p>
    <w:p w:rsidR="10E38692" w:rsidP="27FB5717" w:rsidRDefault="10E38692" w14:paraId="1F76E792" w14:textId="3BD34164">
      <w:pPr>
        <w:spacing w:before="240" w:after="240"/>
      </w:pPr>
      <w:r w:rsidRPr="27FB5717">
        <w:rPr>
          <w:rFonts w:ascii="Aptos" w:hAnsi="Aptos" w:eastAsia="Aptos" w:cs="Aptos"/>
        </w:rPr>
        <w:t xml:space="preserve"> • Minimum: RPR at 3, 6, 12 </w:t>
      </w:r>
      <w:proofErr w:type="spellStart"/>
      <w:r w:rsidRPr="27FB5717">
        <w:rPr>
          <w:rFonts w:ascii="Aptos" w:hAnsi="Aptos" w:eastAsia="Aptos" w:cs="Aptos"/>
        </w:rPr>
        <w:t>mo</w:t>
      </w:r>
      <w:proofErr w:type="spellEnd"/>
      <w:r w:rsidRPr="27FB5717">
        <w:rPr>
          <w:rFonts w:ascii="Aptos" w:hAnsi="Aptos" w:eastAsia="Aptos" w:cs="Aptos"/>
        </w:rPr>
        <w:t xml:space="preserve">, then 6‑monthly until RPR negative or </w:t>
      </w:r>
      <w:proofErr w:type="spellStart"/>
      <w:r w:rsidRPr="27FB5717">
        <w:rPr>
          <w:rFonts w:ascii="Aptos" w:hAnsi="Aptos" w:eastAsia="Aptos" w:cs="Aptos"/>
        </w:rPr>
        <w:t>serofast</w:t>
      </w:r>
      <w:proofErr w:type="spellEnd"/>
      <w:r w:rsidRPr="27FB5717">
        <w:rPr>
          <w:rFonts w:ascii="Aptos" w:hAnsi="Aptos" w:eastAsia="Aptos" w:cs="Aptos"/>
        </w:rPr>
        <w:t>. fileciteturn4file18</w:t>
      </w:r>
    </w:p>
    <w:p w:rsidR="10E38692" w:rsidP="27FB5717" w:rsidRDefault="10E38692" w14:paraId="03847065" w14:textId="15817FB7">
      <w:pPr>
        <w:spacing w:before="240" w:after="240"/>
      </w:pPr>
      <w:r w:rsidRPr="27FB5717">
        <w:rPr>
          <w:rFonts w:ascii="Aptos" w:hAnsi="Aptos" w:eastAsia="Aptos" w:cs="Aptos"/>
        </w:rPr>
        <w:t xml:space="preserve"> • ≥4‑fold RPR rise, symptoms or failure of expected fall → assess for re‑infection, treatment failure or neurosyphilis.</w:t>
      </w:r>
    </w:p>
    <w:p w:rsidR="10E38692" w:rsidP="27FB5717" w:rsidRDefault="10E38692" w14:paraId="45669F46" w14:textId="145784BC">
      <w:pPr>
        <w:spacing w:before="240" w:after="240"/>
      </w:pPr>
      <w:r w:rsidRPr="27FB5717">
        <w:rPr>
          <w:rFonts w:ascii="Aptos" w:hAnsi="Aptos" w:eastAsia="Aptos" w:cs="Aptos"/>
        </w:rPr>
        <w:t xml:space="preserve"> • Post‑neurosyphilis CSF re‑exam at 6 </w:t>
      </w:r>
      <w:proofErr w:type="spellStart"/>
      <w:r w:rsidRPr="27FB5717">
        <w:rPr>
          <w:rFonts w:ascii="Aptos" w:hAnsi="Aptos" w:eastAsia="Aptos" w:cs="Aptos"/>
        </w:rPr>
        <w:t>wk</w:t>
      </w:r>
      <w:proofErr w:type="spellEnd"/>
      <w:r w:rsidRPr="27FB5717">
        <w:rPr>
          <w:rFonts w:ascii="Aptos" w:hAnsi="Aptos" w:eastAsia="Aptos" w:cs="Aptos"/>
        </w:rPr>
        <w:t>–6 </w:t>
      </w:r>
      <w:proofErr w:type="spellStart"/>
      <w:r w:rsidRPr="27FB5717">
        <w:rPr>
          <w:rFonts w:ascii="Aptos" w:hAnsi="Aptos" w:eastAsia="Aptos" w:cs="Aptos"/>
        </w:rPr>
        <w:t>mo</w:t>
      </w:r>
      <w:proofErr w:type="spellEnd"/>
      <w:r w:rsidRPr="27FB5717">
        <w:rPr>
          <w:rFonts w:ascii="Aptos" w:hAnsi="Aptos" w:eastAsia="Aptos" w:cs="Aptos"/>
        </w:rPr>
        <w:t xml:space="preserve"> if baseline abnormal. fileciteturn4file10</w:t>
      </w:r>
    </w:p>
    <w:p w:rsidRPr="00060592" w:rsidR="10E38692" w:rsidP="27FB5717" w:rsidRDefault="10E38692" w14:paraId="296FE6BB" w14:textId="524A1ED9">
      <w:pPr>
        <w:spacing w:before="240" w:after="240"/>
        <w:rPr>
          <w:b/>
          <w:bCs/>
        </w:rPr>
      </w:pPr>
      <w:r w:rsidRPr="00060592">
        <w:rPr>
          <w:rFonts w:ascii="Aptos" w:hAnsi="Aptos" w:eastAsia="Aptos" w:cs="Aptos"/>
          <w:b/>
          <w:bCs/>
        </w:rPr>
        <w:t>### </w:t>
      </w:r>
      <w:proofErr w:type="gramStart"/>
      <w:r w:rsidRPr="00060592">
        <w:rPr>
          <w:rFonts w:ascii="Aptos" w:hAnsi="Aptos" w:eastAsia="Aptos" w:cs="Aptos"/>
          <w:b/>
          <w:bCs/>
        </w:rPr>
        <w:t>10  Partner</w:t>
      </w:r>
      <w:proofErr w:type="gramEnd"/>
      <w:r w:rsidRPr="00060592">
        <w:rPr>
          <w:rFonts w:ascii="Aptos" w:hAnsi="Aptos" w:eastAsia="Aptos" w:cs="Aptos"/>
          <w:b/>
          <w:bCs/>
        </w:rPr>
        <w:t xml:space="preserve"> notification</w:t>
      </w:r>
    </w:p>
    <w:p w:rsidR="10E38692" w:rsidP="27FB5717" w:rsidRDefault="10E38692" w14:paraId="1419269A" w14:textId="3B284179">
      <w:pPr>
        <w:spacing w:before="240" w:after="240"/>
      </w:pPr>
      <w:r w:rsidRPr="27FB5717">
        <w:rPr>
          <w:rFonts w:ascii="Aptos" w:hAnsi="Aptos" w:eastAsia="Aptos" w:cs="Aptos"/>
        </w:rPr>
        <w:t xml:space="preserve"> • Look‑back: 3 </w:t>
      </w:r>
      <w:proofErr w:type="spellStart"/>
      <w:r w:rsidRPr="27FB5717">
        <w:rPr>
          <w:rFonts w:ascii="Aptos" w:hAnsi="Aptos" w:eastAsia="Aptos" w:cs="Aptos"/>
        </w:rPr>
        <w:t>mo</w:t>
      </w:r>
      <w:proofErr w:type="spellEnd"/>
      <w:r w:rsidRPr="27FB5717">
        <w:rPr>
          <w:rFonts w:ascii="Aptos" w:hAnsi="Aptos" w:eastAsia="Aptos" w:cs="Aptos"/>
        </w:rPr>
        <w:t xml:space="preserve"> (primary) or 2 y (secondary/early latent); symptomatic partners receive epidemiological treatment or rescreen at 12 wk. fileciteturn4file6</w:t>
      </w:r>
    </w:p>
    <w:p w:rsidRPr="00060592" w:rsidR="10E38692" w:rsidP="27FB5717" w:rsidRDefault="10E38692" w14:paraId="4975A64C" w14:textId="2BDC3FB0">
      <w:pPr>
        <w:spacing w:before="240" w:after="240"/>
        <w:rPr>
          <w:b/>
          <w:bCs/>
        </w:rPr>
      </w:pPr>
      <w:r w:rsidRPr="00060592">
        <w:rPr>
          <w:rFonts w:ascii="Aptos" w:hAnsi="Aptos" w:eastAsia="Aptos" w:cs="Aptos"/>
          <w:b/>
          <w:bCs/>
        </w:rPr>
        <w:t>### </w:t>
      </w:r>
      <w:proofErr w:type="gramStart"/>
      <w:r w:rsidRPr="00060592">
        <w:rPr>
          <w:rFonts w:ascii="Aptos" w:hAnsi="Aptos" w:eastAsia="Aptos" w:cs="Aptos"/>
          <w:b/>
          <w:bCs/>
        </w:rPr>
        <w:t>11  High</w:t>
      </w:r>
      <w:proofErr w:type="gramEnd"/>
      <w:r w:rsidRPr="00060592">
        <w:rPr>
          <w:rFonts w:ascii="Aptos" w:hAnsi="Aptos" w:eastAsia="Aptos" w:cs="Aptos"/>
          <w:b/>
          <w:bCs/>
        </w:rPr>
        <w:t>‑yield exam pearls</w:t>
      </w:r>
    </w:p>
    <w:p w:rsidR="10E38692" w:rsidP="27FB5717" w:rsidRDefault="10E38692" w14:paraId="59D47746" w14:textId="2D993FB9">
      <w:pPr>
        <w:spacing w:before="240" w:after="240"/>
      </w:pPr>
      <w:r w:rsidRPr="27FB5717">
        <w:rPr>
          <w:rFonts w:ascii="Aptos" w:hAnsi="Aptos" w:eastAsia="Aptos" w:cs="Aptos"/>
        </w:rPr>
        <w:t xml:space="preserve"> • TPPA withdrawn – labs use TPHA/TPLA or 2nd EIA for confirmation.</w:t>
      </w:r>
    </w:p>
    <w:p w:rsidR="10E38692" w:rsidP="27FB5717" w:rsidRDefault="10E38692" w14:paraId="6386C1F8" w14:textId="25CD51F0">
      <w:pPr>
        <w:spacing w:before="240" w:after="240"/>
      </w:pPr>
      <w:r w:rsidRPr="27FB5717">
        <w:rPr>
          <w:rFonts w:ascii="Aptos" w:hAnsi="Aptos" w:eastAsia="Aptos" w:cs="Aptos"/>
        </w:rPr>
        <w:t xml:space="preserve"> • Prozone phenomenon – always dilute serum if high suspicion.</w:t>
      </w:r>
    </w:p>
    <w:p w:rsidR="10E38692" w:rsidP="27FB5717" w:rsidRDefault="10E38692" w14:paraId="2E08B118" w14:textId="7926C3C7">
      <w:pPr>
        <w:spacing w:before="240" w:after="240"/>
      </w:pPr>
      <w:r w:rsidRPr="27FB5717">
        <w:rPr>
          <w:rFonts w:ascii="Aptos" w:hAnsi="Aptos" w:eastAsia="Aptos" w:cs="Aptos"/>
        </w:rPr>
        <w:t xml:space="preserve"> • False‑positive treponemal tests common in autoimmune disease/IVDU; false‑negatives early or in immunocompromise. fileciteturn4file12</w:t>
      </w:r>
    </w:p>
    <w:p w:rsidR="10E38692" w:rsidP="27FB5717" w:rsidRDefault="10E38692" w14:paraId="679CEAB5" w14:textId="036661D4">
      <w:pPr>
        <w:spacing w:before="240" w:after="240"/>
      </w:pPr>
      <w:r w:rsidRPr="27FB5717">
        <w:rPr>
          <w:rFonts w:ascii="Aptos" w:hAnsi="Aptos" w:eastAsia="Aptos" w:cs="Aptos"/>
        </w:rPr>
        <w:t xml:space="preserve"> • CSF thresholds (protein &gt; 0.45 g/L; WCC &gt; 5 µL or &gt; 20 µL if HIV) and TPHA &gt; 1:320. fileciteturn4file16</w:t>
      </w:r>
    </w:p>
    <w:p w:rsidR="10E38692" w:rsidP="27FB5717" w:rsidRDefault="10E38692" w14:paraId="4DB10565" w14:textId="54773B3F">
      <w:pPr>
        <w:spacing w:before="240" w:after="240"/>
      </w:pPr>
      <w:r w:rsidRPr="27FB5717">
        <w:rPr>
          <w:rFonts w:ascii="Aptos" w:hAnsi="Aptos" w:eastAsia="Aptos" w:cs="Aptos"/>
        </w:rPr>
        <w:t xml:space="preserve"> • IM benzathine achieves </w:t>
      </w:r>
      <w:proofErr w:type="spellStart"/>
      <w:r w:rsidRPr="27FB5717">
        <w:rPr>
          <w:rFonts w:ascii="Aptos" w:hAnsi="Aptos" w:eastAsia="Aptos" w:cs="Aptos"/>
        </w:rPr>
        <w:t>treponemicidal</w:t>
      </w:r>
      <w:proofErr w:type="spellEnd"/>
      <w:r w:rsidRPr="27FB5717">
        <w:rPr>
          <w:rFonts w:ascii="Aptos" w:hAnsi="Aptos" w:eastAsia="Aptos" w:cs="Aptos"/>
        </w:rPr>
        <w:t xml:space="preserve"> serum for 2–4 </w:t>
      </w:r>
      <w:proofErr w:type="spellStart"/>
      <w:r w:rsidRPr="27FB5717">
        <w:rPr>
          <w:rFonts w:ascii="Aptos" w:hAnsi="Aptos" w:eastAsia="Aptos" w:cs="Aptos"/>
        </w:rPr>
        <w:t>wks</w:t>
      </w:r>
      <w:proofErr w:type="spellEnd"/>
      <w:r w:rsidRPr="27FB5717">
        <w:rPr>
          <w:rFonts w:ascii="Aptos" w:hAnsi="Aptos" w:eastAsia="Aptos" w:cs="Aptos"/>
        </w:rPr>
        <w:t xml:space="preserve"> (hence 14‑day gap rule). fileciteturn4file5</w:t>
      </w:r>
    </w:p>
    <w:p w:rsidR="10E38692" w:rsidP="27FB5717" w:rsidRDefault="10E38692" w14:paraId="079CC4FD" w14:textId="1AC2FAE2">
      <w:pPr>
        <w:spacing w:before="240" w:after="240"/>
      </w:pPr>
      <w:r w:rsidRPr="27FB5717">
        <w:rPr>
          <w:rFonts w:ascii="Aptos" w:hAnsi="Aptos" w:eastAsia="Aptos" w:cs="Aptos"/>
        </w:rPr>
        <w:t xml:space="preserve"> • Never use benzathine for neurosyphilis. fileciteturn4file16</w:t>
      </w:r>
    </w:p>
    <w:p w:rsidR="27FB5717" w:rsidRDefault="27FB5717" w14:paraId="5F236C15" w14:textId="0D774C35"/>
    <w:p w:rsidRPr="00060592" w:rsidR="27FB5717" w:rsidP="00060592" w:rsidRDefault="10E38692" w14:paraId="4C734234" w14:textId="2A41985A">
      <w:pPr>
        <w:spacing w:before="240" w:after="240"/>
      </w:pPr>
      <w:r w:rsidRPr="27FB5717">
        <w:rPr>
          <w:rFonts w:ascii="Aptos" w:hAnsi="Aptos" w:eastAsia="Aptos" w:cs="Aptos"/>
        </w:rPr>
        <w:t>These notes now include the repeat‑testing rules, serology caveats, numeric CSF criteria, expanded penicillin‑allergy guidance and patient abstinence advice requested.</w:t>
      </w:r>
    </w:p>
    <w:sectPr w:rsidRPr="00060592" w:rsidR="27FB5717" w:rsidSect="00CB2C9D"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3">
    <w:nsid w:val="6c0ca2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49c55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00913AEC"/>
    <w:multiLevelType w:val="hybridMultilevel"/>
    <w:tmpl w:val="D926FFAE"/>
    <w:lvl w:ilvl="0" w:tplc="5754844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054506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15E6B1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878EC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C0326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4A6BC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A6F5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16362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1A26C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F4EBE14"/>
    <w:multiLevelType w:val="hybridMultilevel"/>
    <w:tmpl w:val="596294F0"/>
    <w:lvl w:ilvl="0" w:tplc="20AE39E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B8EEE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998E2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81C33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61AB7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8841D4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290D6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D66EC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DEFE8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BF1E863"/>
    <w:multiLevelType w:val="hybridMultilevel"/>
    <w:tmpl w:val="2FF0539A"/>
    <w:lvl w:ilvl="0" w:tplc="CE40E4F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F626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8925AB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4C643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6449A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2E01A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6084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604C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9CBC9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4B22C42"/>
    <w:multiLevelType w:val="hybridMultilevel"/>
    <w:tmpl w:val="CE588488"/>
    <w:lvl w:ilvl="0" w:tplc="EF5409EC">
      <w:start w:val="1"/>
      <w:numFmt w:val="decimal"/>
      <w:lvlText w:val="%1."/>
      <w:lvlJc w:val="left"/>
      <w:pPr>
        <w:ind w:left="720" w:hanging="360"/>
      </w:pPr>
    </w:lvl>
    <w:lvl w:ilvl="1" w:tplc="2020DC7A">
      <w:start w:val="1"/>
      <w:numFmt w:val="lowerLetter"/>
      <w:lvlText w:val="%2."/>
      <w:lvlJc w:val="left"/>
      <w:pPr>
        <w:ind w:left="1440" w:hanging="360"/>
      </w:pPr>
    </w:lvl>
    <w:lvl w:ilvl="2" w:tplc="BD922A34">
      <w:start w:val="1"/>
      <w:numFmt w:val="lowerRoman"/>
      <w:lvlText w:val="%3."/>
      <w:lvlJc w:val="right"/>
      <w:pPr>
        <w:ind w:left="2160" w:hanging="180"/>
      </w:pPr>
    </w:lvl>
    <w:lvl w:ilvl="3" w:tplc="7962297A">
      <w:start w:val="1"/>
      <w:numFmt w:val="decimal"/>
      <w:lvlText w:val="%4."/>
      <w:lvlJc w:val="left"/>
      <w:pPr>
        <w:ind w:left="2880" w:hanging="360"/>
      </w:pPr>
    </w:lvl>
    <w:lvl w:ilvl="4" w:tplc="A3940AC8">
      <w:start w:val="1"/>
      <w:numFmt w:val="lowerLetter"/>
      <w:lvlText w:val="%5."/>
      <w:lvlJc w:val="left"/>
      <w:pPr>
        <w:ind w:left="3600" w:hanging="360"/>
      </w:pPr>
    </w:lvl>
    <w:lvl w:ilvl="5" w:tplc="EB5A7BCA">
      <w:start w:val="1"/>
      <w:numFmt w:val="lowerRoman"/>
      <w:lvlText w:val="%6."/>
      <w:lvlJc w:val="right"/>
      <w:pPr>
        <w:ind w:left="4320" w:hanging="180"/>
      </w:pPr>
    </w:lvl>
    <w:lvl w:ilvl="6" w:tplc="690A0ADE">
      <w:start w:val="1"/>
      <w:numFmt w:val="decimal"/>
      <w:lvlText w:val="%7."/>
      <w:lvlJc w:val="left"/>
      <w:pPr>
        <w:ind w:left="5040" w:hanging="360"/>
      </w:pPr>
    </w:lvl>
    <w:lvl w:ilvl="7" w:tplc="685AD550">
      <w:start w:val="1"/>
      <w:numFmt w:val="lowerLetter"/>
      <w:lvlText w:val="%8."/>
      <w:lvlJc w:val="left"/>
      <w:pPr>
        <w:ind w:left="5760" w:hanging="360"/>
      </w:pPr>
    </w:lvl>
    <w:lvl w:ilvl="8" w:tplc="FD403C0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3F79C"/>
    <w:multiLevelType w:val="hybridMultilevel"/>
    <w:tmpl w:val="DD6632E4"/>
    <w:lvl w:ilvl="0" w:tplc="9D9A8E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0A83F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1C11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814642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296CA5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0451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687B8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300F7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78EEC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CEA0483"/>
    <w:multiLevelType w:val="hybridMultilevel"/>
    <w:tmpl w:val="DA72CD82"/>
    <w:lvl w:ilvl="0" w:tplc="93301E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1A207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F2C78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64D5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A4CB0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1DAFB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C0AB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9EC44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D278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07E1E18"/>
    <w:multiLevelType w:val="hybridMultilevel"/>
    <w:tmpl w:val="6BFE854E"/>
    <w:lvl w:ilvl="0" w:tplc="AAB42CD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92A72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0E2A0F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1EAEC3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85003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650F4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87614C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0EE2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DBE9F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C32265B"/>
    <w:multiLevelType w:val="hybridMultilevel"/>
    <w:tmpl w:val="189211B6"/>
    <w:lvl w:ilvl="0" w:tplc="C406BDE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7C812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0C24F1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E52F1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026BC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5CA33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81E7F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77293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45E17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A4D00B5"/>
    <w:multiLevelType w:val="hybridMultilevel"/>
    <w:tmpl w:val="4442F2FE"/>
    <w:lvl w:ilvl="0" w:tplc="C00C133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3C227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6AE01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E087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5EAA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ECC41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1329B1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906BD9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3F4029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C35E6DF"/>
    <w:multiLevelType w:val="hybridMultilevel"/>
    <w:tmpl w:val="403CB21C"/>
    <w:lvl w:ilvl="0" w:tplc="4A42190E">
      <w:start w:val="1"/>
      <w:numFmt w:val="decimal"/>
      <w:lvlText w:val="%1."/>
      <w:lvlJc w:val="left"/>
      <w:pPr>
        <w:ind w:left="720" w:hanging="360"/>
      </w:pPr>
    </w:lvl>
    <w:lvl w:ilvl="1" w:tplc="9C1208CA">
      <w:start w:val="1"/>
      <w:numFmt w:val="lowerLetter"/>
      <w:lvlText w:val="%2."/>
      <w:lvlJc w:val="left"/>
      <w:pPr>
        <w:ind w:left="1440" w:hanging="360"/>
      </w:pPr>
    </w:lvl>
    <w:lvl w:ilvl="2" w:tplc="ACC80816">
      <w:start w:val="1"/>
      <w:numFmt w:val="lowerRoman"/>
      <w:lvlText w:val="%3."/>
      <w:lvlJc w:val="right"/>
      <w:pPr>
        <w:ind w:left="2160" w:hanging="180"/>
      </w:pPr>
    </w:lvl>
    <w:lvl w:ilvl="3" w:tplc="B4E8D66C">
      <w:start w:val="1"/>
      <w:numFmt w:val="decimal"/>
      <w:lvlText w:val="%4."/>
      <w:lvlJc w:val="left"/>
      <w:pPr>
        <w:ind w:left="2880" w:hanging="360"/>
      </w:pPr>
    </w:lvl>
    <w:lvl w:ilvl="4" w:tplc="85A2FCA2">
      <w:start w:val="1"/>
      <w:numFmt w:val="lowerLetter"/>
      <w:lvlText w:val="%5."/>
      <w:lvlJc w:val="left"/>
      <w:pPr>
        <w:ind w:left="3600" w:hanging="360"/>
      </w:pPr>
    </w:lvl>
    <w:lvl w:ilvl="5" w:tplc="6FBE605E">
      <w:start w:val="1"/>
      <w:numFmt w:val="lowerRoman"/>
      <w:lvlText w:val="%6."/>
      <w:lvlJc w:val="right"/>
      <w:pPr>
        <w:ind w:left="4320" w:hanging="180"/>
      </w:pPr>
    </w:lvl>
    <w:lvl w:ilvl="6" w:tplc="74EE41A8">
      <w:start w:val="1"/>
      <w:numFmt w:val="decimal"/>
      <w:lvlText w:val="%7."/>
      <w:lvlJc w:val="left"/>
      <w:pPr>
        <w:ind w:left="5040" w:hanging="360"/>
      </w:pPr>
    </w:lvl>
    <w:lvl w:ilvl="7" w:tplc="210C3FD4">
      <w:start w:val="1"/>
      <w:numFmt w:val="lowerLetter"/>
      <w:lvlText w:val="%8."/>
      <w:lvlJc w:val="left"/>
      <w:pPr>
        <w:ind w:left="5760" w:hanging="360"/>
      </w:pPr>
    </w:lvl>
    <w:lvl w:ilvl="8" w:tplc="FE744A6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161C7D"/>
    <w:multiLevelType w:val="hybridMultilevel"/>
    <w:tmpl w:val="21E46EB6"/>
    <w:lvl w:ilvl="0" w:tplc="CACED1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7BA7B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57ABD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84666E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FCA57C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2282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C2B6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F670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32254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F2C1195"/>
    <w:multiLevelType w:val="hybridMultilevel"/>
    <w:tmpl w:val="34BC7802"/>
    <w:lvl w:ilvl="0" w:tplc="65F49C6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DE6F4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A8679D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C892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CE98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0E427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527D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B68F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7DA77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" w16cid:durableId="40790148">
    <w:abstractNumId w:val="3"/>
  </w:num>
  <w:num w:numId="2" w16cid:durableId="1098788291">
    <w:abstractNumId w:val="4"/>
  </w:num>
  <w:num w:numId="3" w16cid:durableId="1664358851">
    <w:abstractNumId w:val="6"/>
  </w:num>
  <w:num w:numId="4" w16cid:durableId="1005747191">
    <w:abstractNumId w:val="0"/>
  </w:num>
  <w:num w:numId="5" w16cid:durableId="638078250">
    <w:abstractNumId w:val="5"/>
  </w:num>
  <w:num w:numId="6" w16cid:durableId="475145434">
    <w:abstractNumId w:val="8"/>
  </w:num>
  <w:num w:numId="7" w16cid:durableId="941031707">
    <w:abstractNumId w:val="10"/>
  </w:num>
  <w:num w:numId="8" w16cid:durableId="699938699">
    <w:abstractNumId w:val="11"/>
  </w:num>
  <w:num w:numId="9" w16cid:durableId="2007127028">
    <w:abstractNumId w:val="9"/>
  </w:num>
  <w:num w:numId="10" w16cid:durableId="105001802">
    <w:abstractNumId w:val="7"/>
  </w:num>
  <w:num w:numId="11" w16cid:durableId="2022705436">
    <w:abstractNumId w:val="1"/>
  </w:num>
  <w:num w:numId="12" w16cid:durableId="9279263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731C76"/>
    <w:rsid w:val="00060592"/>
    <w:rsid w:val="00200A3A"/>
    <w:rsid w:val="00607CBA"/>
    <w:rsid w:val="00713E54"/>
    <w:rsid w:val="00B6717A"/>
    <w:rsid w:val="00C105AA"/>
    <w:rsid w:val="00CB2BA0"/>
    <w:rsid w:val="00CB2C9D"/>
    <w:rsid w:val="065FD309"/>
    <w:rsid w:val="0691BA6D"/>
    <w:rsid w:val="0DBBE53E"/>
    <w:rsid w:val="10104186"/>
    <w:rsid w:val="10E38692"/>
    <w:rsid w:val="17A41A8E"/>
    <w:rsid w:val="184FD35E"/>
    <w:rsid w:val="213B40AB"/>
    <w:rsid w:val="27FB5717"/>
    <w:rsid w:val="2CA7CCAC"/>
    <w:rsid w:val="2E731C76"/>
    <w:rsid w:val="2F8B9005"/>
    <w:rsid w:val="33D16CB0"/>
    <w:rsid w:val="353706F1"/>
    <w:rsid w:val="40E304DE"/>
    <w:rsid w:val="430BAF25"/>
    <w:rsid w:val="4D43C8D5"/>
    <w:rsid w:val="539D7A1F"/>
    <w:rsid w:val="575F894F"/>
    <w:rsid w:val="5AC732D7"/>
    <w:rsid w:val="5FDD1A88"/>
    <w:rsid w:val="654573A6"/>
    <w:rsid w:val="70774CE7"/>
    <w:rsid w:val="7953B920"/>
    <w:rsid w:val="7AF3B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31C76"/>
  <w15:chartTrackingRefBased/>
  <w15:docId w15:val="{222342C4-B7FD-404D-9347-99F7DB8D3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3">
    <w:name w:val="heading 3"/>
    <w:basedOn w:val="Normal"/>
    <w:next w:val="Normal"/>
    <w:uiPriority w:val="9"/>
    <w:unhideWhenUsed/>
    <w:qFormat/>
    <w:rsid w:val="27FB57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27FB5717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Heading1">
    <w:uiPriority w:val="9"/>
    <w:name w:val="heading 1"/>
    <w:basedOn w:val="Normal"/>
    <w:next w:val="Normal"/>
    <w:qFormat/>
    <w:rsid w:val="5FDD1A8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SNELL, Luke (KING'S COLLEGE HOSPITAL NHS FOUNDATION TRUST)</dc:creator>
  <keywords/>
  <dc:description/>
  <lastModifiedBy>SNELL, Luke (KING'S COLLEGE HOSPITAL NHS FOUNDATION TRUST)</lastModifiedBy>
  <revision>13</revision>
  <dcterms:created xsi:type="dcterms:W3CDTF">2025-07-22T21:38:00.0000000Z</dcterms:created>
  <dcterms:modified xsi:type="dcterms:W3CDTF">2025-10-07T08:08:32.3940574Z</dcterms:modified>
</coreProperties>
</file>