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6FA097" wp14:paraId="3D7E1BED" wp14:textId="254A5C13">
      <w:pPr>
        <w:pStyle w:val="Heading3"/>
        <w:spacing w:before="281" w:beforeAutospacing="off" w:after="281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Histoplasmosis – updated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FRCPath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 Part 2 notes (Medical Microbiology)</w:t>
      </w:r>
    </w:p>
    <w:p xmlns:wp14="http://schemas.microsoft.com/office/word/2010/wordml" w:rsidP="2F6FA097" wp14:paraId="48C9DBCD" wp14:textId="6EAAF228">
      <w:pPr>
        <w:pStyle w:val="Heading4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 Organism &amp; definition</w:t>
      </w:r>
    </w:p>
    <w:p xmlns:wp14="http://schemas.microsoft.com/office/word/2010/wordml" w:rsidP="2F6FA097" wp14:paraId="154D20D6" wp14:textId="270A1A8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Histoplasma capsulatum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dimorphic fungus (mould ≤ 35 °C; yeast at 37 °C). Infection follows inhalation of soil/guano‑borne microconidia; no person‑to‑person spread. </w:t>
      </w:r>
    </w:p>
    <w:p xmlns:wp14="http://schemas.microsoft.com/office/word/2010/wordml" w:rsidP="2F6FA097" wp14:paraId="0DBA2A19" wp14:textId="740D7426">
      <w:pPr>
        <w:pStyle w:val="Heading4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2. Epidemiology &amp; transmission</w:t>
      </w:r>
    </w:p>
    <w:p xmlns:wp14="http://schemas.microsoft.com/office/word/2010/wordml" w:rsidP="2F6FA097" wp14:paraId="0F2C7320" wp14:textId="5C90752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Endemic to the Ohio, Mississippi &amp; Missouri river valleys, parts of Latin America, Caribbean, Africa/Asia.</w:t>
      </w:r>
    </w:p>
    <w:p xmlns:wp14="http://schemas.microsoft.com/office/word/2010/wordml" w:rsidP="2F6FA097" wp14:paraId="39D36F66" wp14:textId="4AF596F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Exposure via bat/bird‑contaminated soil (caves, chicken coops, demolition). </w:t>
      </w:r>
    </w:p>
    <w:p xmlns:wp14="http://schemas.microsoft.com/office/word/2010/wordml" w:rsidP="2F6FA097" wp14:paraId="4703518E" wp14:textId="0CC9B47F">
      <w:pPr>
        <w:pStyle w:val="Heading4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 Pathogenesis</w:t>
      </w:r>
    </w:p>
    <w:p xmlns:wp14="http://schemas.microsoft.com/office/word/2010/wordml" w:rsidP="2F6FA097" wp14:paraId="72DB68B2" wp14:textId="3E85601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Inhaled microconidia → yeast‑phase in alveoli → survive in macrophages → lymphohaematogenous spread; containment requires IFN‑γ/TNF‑α‑mediated granulomas. </w:t>
      </w:r>
    </w:p>
    <w:p xmlns:wp14="http://schemas.microsoft.com/office/word/2010/wordml" w:rsidP="2F6FA097" wp14:paraId="74D0D2EF" wp14:textId="0DCC9D8A">
      <w:pPr>
        <w:pStyle w:val="Heading4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4. Risk factors for severe / disseminated disease</w:t>
      </w:r>
    </w:p>
    <w:p xmlns:wp14="http://schemas.microsoft.com/office/word/2010/wordml" w:rsidP="2F6FA097" wp14:paraId="5BBDBE6B" wp14:textId="11CC50A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CD4 &lt; 150 cells mm⁻³ (HIV)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, infants, elderly</w:t>
      </w:r>
    </w:p>
    <w:p xmlns:wp14="http://schemas.microsoft.com/office/word/2010/wordml" w:rsidP="2F6FA097" wp14:paraId="2BDC20C9" wp14:textId="2D1DFA8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TNF‑α antagonists, JAK inhibitors, prolonged steroids, calcineurin inhibitors, cytotoxic chemo‑neutropenia</w:t>
      </w:r>
    </w:p>
    <w:p xmlns:wp14="http://schemas.microsoft.com/office/word/2010/wordml" w:rsidP="2F6FA097" wp14:paraId="27D798F2" wp14:textId="36ED12A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Solid‑organ / stem‑cell transplant, GVHD </w:t>
      </w:r>
    </w:p>
    <w:p xmlns:wp14="http://schemas.microsoft.com/office/word/2010/wordml" w:rsidP="2F6FA097" wp14:paraId="64AE2683" wp14:textId="1F3DA286">
      <w:pPr>
        <w:pStyle w:val="Heading4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5. Clinical forms (memorise for viva)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6"/>
        <w:gridCol w:w="3140"/>
        <w:gridCol w:w="3219"/>
      </w:tblGrid>
      <w:tr w:rsidR="2F6FA097" w:rsidTr="2F6FA097" w14:paraId="2027D2D5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2B4C6D39" w14:textId="0BB53F70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Form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02398941" w14:textId="46AC0C3F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Typical host / trigger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796415CA" w14:textId="562A61A8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Key clinical features</w:t>
            </w:r>
          </w:p>
        </w:tc>
      </w:tr>
      <w:tr w:rsidR="2F6FA097" w:rsidTr="2F6FA097" w14:paraId="20C1CD40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62547501" w14:textId="3C68780C">
            <w:pPr>
              <w:spacing w:before="0" w:beforeAutospacing="off" w:after="0" w:afterAutospacing="off"/>
            </w:pPr>
            <w:r w:rsidR="2F6FA097">
              <w:rPr/>
              <w:t>Latent asymptomatic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04E69695" w14:textId="65CEBCA8">
            <w:pPr>
              <w:spacing w:before="0" w:beforeAutospacing="off" w:after="0" w:afterAutospacing="off"/>
            </w:pPr>
            <w:r w:rsidR="2F6FA097">
              <w:rPr/>
              <w:t>Low inoculum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452E45F6" w14:textId="20AE19AB">
            <w:pPr>
              <w:spacing w:before="0" w:beforeAutospacing="off" w:after="0" w:afterAutospacing="off"/>
            </w:pPr>
            <w:r w:rsidR="2F6FA097">
              <w:rPr/>
              <w:t>Incidental calcified granuloma</w:t>
            </w:r>
          </w:p>
        </w:tc>
      </w:tr>
      <w:tr w:rsidR="2F6FA097" w:rsidTr="2F6FA097" w14:paraId="65E03FCA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2E7D0F56" w14:textId="13922C77">
            <w:pPr>
              <w:spacing w:before="0" w:beforeAutospacing="off" w:after="0" w:afterAutospacing="off"/>
            </w:pPr>
            <w:r w:rsidR="2F6FA097">
              <w:rPr/>
              <w:t>Acute pulmonary &lt; 4 wks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14CD9D6E" w14:textId="0E39E6F5">
            <w:pPr>
              <w:spacing w:before="0" w:beforeAutospacing="off" w:after="0" w:afterAutospacing="off"/>
            </w:pPr>
            <w:r w:rsidR="2F6FA097">
              <w:rPr/>
              <w:t>Small inoculum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1FFF5B35" w14:textId="68D0814F">
            <w:pPr>
              <w:spacing w:before="0" w:beforeAutospacing="off" w:after="0" w:afterAutospacing="off"/>
            </w:pPr>
            <w:r w:rsidR="2F6FA097">
              <w:rPr/>
              <w:t>‘Flu‑like’ illness</w:t>
            </w:r>
          </w:p>
        </w:tc>
      </w:tr>
      <w:tr w:rsidR="2F6FA097" w:rsidTr="2F6FA097" w14:paraId="5BED4A3D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00C79F20" w14:textId="08552587">
            <w:pPr>
              <w:spacing w:before="0" w:beforeAutospacing="off" w:after="0" w:afterAutospacing="off"/>
            </w:pPr>
            <w:r w:rsidR="2F6FA097">
              <w:rPr/>
              <w:t>Acute pulmonary &gt; 4 wks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4E675DFF" w14:textId="21992B7B">
            <w:pPr>
              <w:spacing w:before="0" w:beforeAutospacing="off" w:after="0" w:afterAutospacing="off"/>
            </w:pPr>
            <w:r w:rsidR="2F6FA097">
              <w:rPr/>
              <w:t>Large inoculum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11FE3C6A" w14:textId="15192450">
            <w:pPr>
              <w:spacing w:before="0" w:beforeAutospacing="off" w:after="0" w:afterAutospacing="off"/>
            </w:pPr>
            <w:r w:rsidR="2F6FA097">
              <w:rPr/>
              <w:t>Protracted systemic/resp. Sx</w:t>
            </w:r>
          </w:p>
        </w:tc>
      </w:tr>
      <w:tr w:rsidR="2F6FA097" w:rsidTr="2F6FA097" w14:paraId="18B3C04E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113B0AB7" w14:textId="22DFA34B">
            <w:pPr>
              <w:spacing w:before="0" w:beforeAutospacing="off" w:after="0" w:afterAutospacing="off"/>
            </w:pPr>
            <w:r w:rsidR="2F6FA097">
              <w:rPr/>
              <w:t>Chronic cavitary pulmonary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324C01C5" w14:textId="4819112E">
            <w:pPr>
              <w:spacing w:before="0" w:beforeAutospacing="off" w:after="0" w:afterAutospacing="off"/>
            </w:pPr>
            <w:r w:rsidR="2F6FA097">
              <w:rPr/>
              <w:t>COPD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56289F79" w14:textId="636A9F7F">
            <w:pPr>
              <w:spacing w:before="0" w:beforeAutospacing="off" w:after="0" w:afterAutospacing="off"/>
            </w:pPr>
            <w:r w:rsidR="2F6FA097">
              <w:rPr/>
              <w:t>Cavities, haemoptysis</w:t>
            </w:r>
          </w:p>
        </w:tc>
      </w:tr>
      <w:tr w:rsidR="2F6FA097" w:rsidTr="2F6FA097" w14:paraId="6D62755C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388E5F75" w14:textId="11485559">
            <w:pPr>
              <w:spacing w:before="0" w:beforeAutospacing="off" w:after="0" w:afterAutospacing="off"/>
            </w:pPr>
            <w:r w:rsidR="2F6FA097">
              <w:rPr/>
              <w:t>Progressive disseminated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3B467B55" w14:textId="60FFD86B">
            <w:pPr>
              <w:spacing w:before="0" w:beforeAutospacing="off" w:after="0" w:afterAutospacing="off"/>
            </w:pPr>
            <w:r w:rsidR="2F6FA097">
              <w:rPr/>
              <w:t>Immunocompromised/infants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508CCC19" w14:textId="24C3D596">
            <w:pPr>
              <w:spacing w:before="0" w:beforeAutospacing="off" w:after="0" w:afterAutospacing="off"/>
            </w:pPr>
            <w:r w:rsidR="2F6FA097">
              <w:rPr/>
              <w:t>Fever, HSM, pancytopenia</w:t>
            </w:r>
          </w:p>
        </w:tc>
      </w:tr>
      <w:tr w:rsidR="2F6FA097" w:rsidTr="2F6FA097" w14:paraId="158A2DC1">
        <w:trPr>
          <w:trHeight w:val="300"/>
        </w:trPr>
        <w:tc>
          <w:tcPr>
            <w:tcW w:w="3006" w:type="dxa"/>
            <w:tcMar/>
            <w:vAlign w:val="center"/>
          </w:tcPr>
          <w:p w:rsidR="2F6FA097" w:rsidP="2F6FA097" w:rsidRDefault="2F6FA097" w14:paraId="0EC594EE" w14:textId="44066AC5">
            <w:pPr>
              <w:spacing w:before="0" w:beforeAutospacing="off" w:after="0" w:afterAutospacing="off"/>
            </w:pPr>
            <w:r w:rsidR="2F6FA097">
              <w:rPr/>
              <w:t>Mediastinal/fibrosing</w:t>
            </w:r>
          </w:p>
        </w:tc>
        <w:tc>
          <w:tcPr>
            <w:tcW w:w="3140" w:type="dxa"/>
            <w:tcMar/>
            <w:vAlign w:val="center"/>
          </w:tcPr>
          <w:p w:rsidR="2F6FA097" w:rsidP="2F6FA097" w:rsidRDefault="2F6FA097" w14:paraId="07F185A9" w14:textId="3D36A44C">
            <w:pPr>
              <w:spacing w:before="0" w:beforeAutospacing="off" w:after="0" w:afterAutospacing="off"/>
            </w:pPr>
            <w:r w:rsidR="2F6FA097">
              <w:rPr/>
              <w:t>Post‑acute</w:t>
            </w:r>
          </w:p>
        </w:tc>
        <w:tc>
          <w:tcPr>
            <w:tcW w:w="3219" w:type="dxa"/>
            <w:tcMar/>
            <w:vAlign w:val="center"/>
          </w:tcPr>
          <w:p w:rsidR="2F6FA097" w:rsidP="2F6FA097" w:rsidRDefault="2F6FA097" w14:paraId="257FDD53" w14:textId="5AA31A20">
            <w:pPr>
              <w:spacing w:before="0" w:beforeAutospacing="off" w:after="0" w:afterAutospacing="off"/>
            </w:pPr>
            <w:r w:rsidR="2F6FA097">
              <w:rPr/>
              <w:t>Obstructive syndromes</w:t>
            </w:r>
          </w:p>
        </w:tc>
      </w:tr>
    </w:tbl>
    <w:p xmlns:wp14="http://schemas.microsoft.com/office/word/2010/wordml" w:rsidP="2F6FA097" wp14:paraId="7CDF8DAE" wp14:textId="6B71C09A">
      <w:pPr>
        <w:bidi w:val="0"/>
        <w:jc w:val="left"/>
      </w:pPr>
    </w:p>
    <w:p xmlns:wp14="http://schemas.microsoft.com/office/word/2010/wordml" w:rsidP="2F6FA097" wp14:paraId="71EB3C14" wp14:textId="393BCFA7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6. Presentations &amp; associated complications (added per user request)</w:t>
      </w:r>
    </w:p>
    <w:p xmlns:wp14="http://schemas.microsoft.com/office/word/2010/wordml" w:rsidP="2F6FA097" wp14:paraId="2AEB2B92" wp14:textId="2979FA5E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Acute pulmonary histoplasmosis may trigger or be accompanied by:</w:t>
      </w:r>
    </w:p>
    <w:p xmlns:wp14="http://schemas.microsoft.com/office/word/2010/wordml" w:rsidP="2F6FA097" wp14:paraId="3D48B676" wp14:textId="23D609A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Pulmonary complications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 – pleural effusions, cavitary disease</w:t>
      </w:r>
    </w:p>
    <w:p xmlns:wp14="http://schemas.microsoft.com/office/word/2010/wordml" w:rsidP="2F6FA097" wp14:paraId="1376CDF8" wp14:textId="2012ADA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Cardio‑inflammatory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 – pericarditis</w:t>
      </w:r>
    </w:p>
    <w:p xmlns:wp14="http://schemas.microsoft.com/office/word/2010/wordml" w:rsidP="2F6FA097" wp14:paraId="7490C4B1" wp14:textId="608D699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Musculoskeletal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 – arthritis / arthralgia</w:t>
      </w:r>
    </w:p>
    <w:p xmlns:wp14="http://schemas.microsoft.com/office/word/2010/wordml" w:rsidP="2F6FA097" wp14:paraId="06A21272" wp14:textId="35F1302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Dermatological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 – erythema nodosum, erythema multiforme, various skin lesions</w:t>
      </w:r>
    </w:p>
    <w:p xmlns:wp14="http://schemas.microsoft.com/office/word/2010/wordml" w:rsidP="2F6FA097" wp14:paraId="5FD610BB" wp14:textId="0FFD529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Disseminated/extrapulmonary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 – hepatosplenomegaly, abnormal LFTs, pancytopenia, gastrointestinal involvement, sepsis‑like syndrome</w:t>
      </w:r>
    </w:p>
    <w:p xmlns:wp14="http://schemas.microsoft.com/office/word/2010/wordml" w:rsidP="2F6FA097" wp14:paraId="1AAA453C" wp14:textId="00002B4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Central nervous system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 – focal brain lesion or meningitis </w:t>
      </w:r>
    </w:p>
    <w:p xmlns:wp14="http://schemas.microsoft.com/office/word/2010/wordml" w:rsidP="2F6FA097" wp14:paraId="3E9EAC82" wp14:textId="72AAB34A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(These are high‑yield short‑answer items – keep the list on standby for stem‑based questions.)</w:t>
      </w:r>
    </w:p>
    <w:p xmlns:wp14="http://schemas.microsoft.com/office/word/2010/wordml" w:rsidP="2F6FA097" wp14:paraId="0B43F3EA" wp14:textId="45759779">
      <w:pPr>
        <w:bidi w:val="0"/>
        <w:jc w:val="left"/>
      </w:pPr>
    </w:p>
    <w:p xmlns:wp14="http://schemas.microsoft.com/office/word/2010/wordml" w:rsidP="2F6FA097" wp14:paraId="33C9B736" wp14:textId="04029A89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7. Differential diagnosis</w:t>
      </w:r>
    </w:p>
    <w:p xmlns:wp14="http://schemas.microsoft.com/office/word/2010/wordml" w:rsidP="2F6FA097" wp14:paraId="60CD9526" wp14:textId="0A99022E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CAP,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TB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Pneumocystis jirovecii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Sarcoidosis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Blastomycosis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Coccidioidomycosis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primary lung malignancy. </w:t>
      </w:r>
    </w:p>
    <w:p xmlns:wp14="http://schemas.microsoft.com/office/word/2010/wordml" w:rsidP="2F6FA097" wp14:paraId="37850B6B" wp14:textId="02487134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8. Investigations</w:t>
      </w:r>
    </w:p>
    <w:p xmlns:wp14="http://schemas.microsoft.com/office/word/2010/wordml" w:rsidP="2F6FA097" wp14:paraId="1AB0E119" wp14:textId="1EDF373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Urine/serum antigen EIA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&gt; 90 % sensitive in disseminated HIV, ↓30 % in acute localised disease.</w:t>
      </w:r>
    </w:p>
    <w:p xmlns:wp14="http://schemas.microsoft.com/office/word/2010/wordml" w:rsidP="2F6FA097" wp14:paraId="4815EC5B" wp14:textId="798B6FA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Culture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sputum/BAL/blood; 4–6 wks; 60–85 % yield disseminated, 15 % focal.</w:t>
      </w:r>
    </w:p>
    <w:p xmlns:wp14="http://schemas.microsoft.com/office/word/2010/wordml" w:rsidP="2F6FA097" wp14:paraId="57396BE5" wp14:textId="5BDD46D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Serology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CF ≥ 1:32 or four‑fold rise; immunodiffusion M‑band (common) ± H‑band (severe).</w:t>
      </w:r>
    </w:p>
    <w:p xmlns:wp14="http://schemas.microsoft.com/office/word/2010/wordml" w:rsidP="2F6FA097" wp14:paraId="0EDDEFBB" wp14:textId="7C3B8BD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Histology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2–4 µm yeasts on PAS/GMS.</w:t>
      </w:r>
    </w:p>
    <w:p xmlns:wp14="http://schemas.microsoft.com/office/word/2010/wordml" w:rsidP="2F6FA097" wp14:paraId="13227DAB" wp14:textId="597FD73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Imaging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CXR reticulonodular ± nodes/cavities; CT “snow‑storm” pattern in heavy inoculum. </w:t>
      </w:r>
    </w:p>
    <w:p xmlns:wp14="http://schemas.microsoft.com/office/word/2010/wordml" w:rsidP="2F6FA097" wp14:paraId="51CEAA37" wp14:textId="573E4578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9. Management (IDSA 2007 / ECMM‑ISHAM 2021)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01"/>
        <w:gridCol w:w="3272"/>
        <w:gridCol w:w="3370"/>
      </w:tblGrid>
      <w:tr w:rsidR="2F6FA097" w:rsidTr="2F6FA097" w14:paraId="460DEB06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79D89DE6" w14:textId="05EDA805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Scenario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78442E32" w14:textId="00A1D04B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Induction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45C001CF" w14:textId="47E35AD7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Step‑down / maintenance</w:t>
            </w:r>
          </w:p>
        </w:tc>
      </w:tr>
      <w:tr w:rsidR="2F6FA097" w:rsidTr="2F6FA097" w14:paraId="676CC3EC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64B0E569" w14:textId="0C858CD3">
            <w:pPr>
              <w:bidi w:val="0"/>
              <w:spacing w:before="0" w:beforeAutospacing="off" w:after="0" w:afterAutospacing="off"/>
            </w:pPr>
            <w:r w:rsidR="2F6FA097">
              <w:rPr/>
              <w:t>Severe acute or disseminated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1DF45D1B" w14:textId="1B5C695E">
            <w:pPr>
              <w:bidi w:val="0"/>
              <w:spacing w:before="0" w:beforeAutospacing="off" w:after="0" w:afterAutospacing="off"/>
            </w:pPr>
            <w:r w:rsidR="2F6FA097">
              <w:rPr/>
              <w:t>L‑AmB 3–5 mg kg⁻¹ d⁻¹ × 1–2 wks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7C8AE8A4" w14:textId="259283F7">
            <w:pPr>
              <w:bidi w:val="0"/>
              <w:spacing w:before="0" w:beforeAutospacing="off" w:after="0" w:afterAutospacing="off"/>
            </w:pPr>
            <w:r w:rsidR="2F6FA097">
              <w:rPr/>
              <w:t>Itraconazole ≥ 12 mo</w:t>
            </w:r>
          </w:p>
        </w:tc>
      </w:tr>
      <w:tr w:rsidR="2F6FA097" w:rsidTr="2F6FA097" w14:paraId="064D484F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49F3E0CA" w14:textId="40DD1C3C">
            <w:pPr>
              <w:bidi w:val="0"/>
              <w:spacing w:before="0" w:beforeAutospacing="off" w:after="0" w:afterAutospacing="off"/>
            </w:pPr>
            <w:r w:rsidR="2F6FA097">
              <w:rPr/>
              <w:t>CNS disease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0B3019D2" w14:textId="006927E7">
            <w:pPr>
              <w:bidi w:val="0"/>
              <w:spacing w:before="0" w:beforeAutospacing="off" w:after="0" w:afterAutospacing="off"/>
            </w:pPr>
            <w:r w:rsidR="2F6FA097">
              <w:rPr/>
              <w:t>L‑AmB 4–6 wks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2945BE0C" w14:textId="002325F3">
            <w:pPr>
              <w:bidi w:val="0"/>
              <w:spacing w:before="0" w:beforeAutospacing="off" w:after="0" w:afterAutospacing="off"/>
            </w:pPr>
            <w:r w:rsidR="2F6FA097">
              <w:rPr/>
              <w:t>Itraconazole ≥ 12 mo</w:t>
            </w:r>
          </w:p>
        </w:tc>
      </w:tr>
      <w:tr w:rsidR="2F6FA097" w:rsidTr="2F6FA097" w14:paraId="05702BC9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10A5148B" w14:textId="4D32CD86">
            <w:pPr>
              <w:bidi w:val="0"/>
              <w:spacing w:before="0" w:beforeAutospacing="off" w:after="0" w:afterAutospacing="off"/>
            </w:pPr>
            <w:r w:rsidR="2F6FA097">
              <w:rPr/>
              <w:t>Mild–moderate pulmonary (&gt; 4 wks)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1E1A0C94" w14:textId="0BC5E0D7">
            <w:pPr>
              <w:bidi w:val="0"/>
              <w:spacing w:before="0" w:beforeAutospacing="off" w:after="0" w:afterAutospacing="off"/>
            </w:pPr>
            <w:r w:rsidR="2F6FA097">
              <w:rPr/>
              <w:t>—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59172E9C" w14:textId="3329DB97">
            <w:pPr>
              <w:bidi w:val="0"/>
              <w:spacing w:before="0" w:beforeAutospacing="off" w:after="0" w:afterAutospacing="off"/>
            </w:pPr>
            <w:r w:rsidR="2F6FA097">
              <w:rPr/>
              <w:t>Itraconazole 6–12 wks</w:t>
            </w:r>
          </w:p>
        </w:tc>
      </w:tr>
      <w:tr w:rsidR="2F6FA097" w:rsidTr="2F6FA097" w14:paraId="6B5081D1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61FF70D5" w14:textId="12C91E9B">
            <w:pPr>
              <w:bidi w:val="0"/>
              <w:spacing w:before="0" w:beforeAutospacing="off" w:after="0" w:afterAutospacing="off"/>
            </w:pPr>
            <w:r w:rsidR="2F6FA097">
              <w:rPr/>
              <w:t>Chronic cavitary pulmonary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561393EF" w14:textId="4E06ADC0">
            <w:pPr>
              <w:bidi w:val="0"/>
              <w:spacing w:before="0" w:beforeAutospacing="off" w:after="0" w:afterAutospacing="off"/>
            </w:pPr>
            <w:r w:rsidR="2F6FA097">
              <w:rPr/>
              <w:t>—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1A4243B1" w14:textId="7C555FEB">
            <w:pPr>
              <w:bidi w:val="0"/>
              <w:spacing w:before="0" w:beforeAutospacing="off" w:after="0" w:afterAutospacing="off"/>
            </w:pPr>
            <w:r w:rsidR="2F6FA097">
              <w:rPr/>
              <w:t>Itraconazole ≥ 12 mo (high relapse)</w:t>
            </w:r>
          </w:p>
        </w:tc>
      </w:tr>
      <w:tr w:rsidR="2F6FA097" w:rsidTr="2F6FA097" w14:paraId="3F769AA3">
        <w:trPr>
          <w:trHeight w:val="300"/>
        </w:trPr>
        <w:tc>
          <w:tcPr>
            <w:tcW w:w="3501" w:type="dxa"/>
            <w:tcMar/>
            <w:vAlign w:val="center"/>
          </w:tcPr>
          <w:p w:rsidR="2F6FA097" w:rsidP="2F6FA097" w:rsidRDefault="2F6FA097" w14:paraId="331F4474" w14:textId="51A84CC7">
            <w:pPr>
              <w:bidi w:val="0"/>
              <w:spacing w:before="0" w:beforeAutospacing="off" w:after="0" w:afterAutospacing="off"/>
            </w:pPr>
            <w:r w:rsidR="2F6FA097">
              <w:rPr/>
              <w:t>Pregnancy</w:t>
            </w:r>
          </w:p>
        </w:tc>
        <w:tc>
          <w:tcPr>
            <w:tcW w:w="3272" w:type="dxa"/>
            <w:tcMar/>
            <w:vAlign w:val="center"/>
          </w:tcPr>
          <w:p w:rsidR="2F6FA097" w:rsidP="2F6FA097" w:rsidRDefault="2F6FA097" w14:paraId="306BE574" w14:textId="63A9F17A">
            <w:pPr>
              <w:bidi w:val="0"/>
              <w:spacing w:before="0" w:beforeAutospacing="off" w:after="0" w:afterAutospacing="off"/>
            </w:pPr>
            <w:r w:rsidR="2F6FA097">
              <w:rPr/>
              <w:t>Amphotericin B throughout</w:t>
            </w:r>
          </w:p>
        </w:tc>
        <w:tc>
          <w:tcPr>
            <w:tcW w:w="3370" w:type="dxa"/>
            <w:tcMar/>
            <w:vAlign w:val="center"/>
          </w:tcPr>
          <w:p w:rsidR="2F6FA097" w:rsidP="2F6FA097" w:rsidRDefault="2F6FA097" w14:paraId="59840555" w14:textId="486A6C74">
            <w:pPr>
              <w:bidi w:val="0"/>
              <w:spacing w:before="0" w:beforeAutospacing="off" w:after="0" w:afterAutospacing="off"/>
            </w:pPr>
            <w:r w:rsidR="2F6FA097">
              <w:rPr/>
              <w:t>Avoid azoles</w:t>
            </w:r>
          </w:p>
        </w:tc>
      </w:tr>
    </w:tbl>
    <w:p xmlns:wp14="http://schemas.microsoft.com/office/word/2010/wordml" w:rsidP="2F6FA097" wp14:paraId="2FA9FD00" wp14:textId="7186BB4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Adjuncts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 – Isavuconazole (emerging); short early steroids for ARDS‑type hypoxaemia. </w:t>
      </w:r>
    </w:p>
    <w:p xmlns:wp14="http://schemas.microsoft.com/office/word/2010/wordml" w:rsidP="2F6FA097" wp14:paraId="780211A1" wp14:textId="2F3EA1BF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10. Primary prophylaxis</w:t>
      </w:r>
    </w:p>
    <w:p xmlns:wp14="http://schemas.microsoft.com/office/word/2010/wordml" w:rsidP="2F6FA097" wp14:paraId="4A2179EB" wp14:textId="39C0F62F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Itraconazole 200 mg d for HIV with CD4 &lt; 150 in high‑incidence regions until CD4 ≥ 150 × 6 mo on ART. </w:t>
      </w:r>
    </w:p>
    <w:p xmlns:wp14="http://schemas.microsoft.com/office/word/2010/wordml" w:rsidP="2F6FA097" wp14:paraId="65F9423C" wp14:textId="42B559EC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11. Follow‑up &amp; monitoring</w:t>
      </w:r>
    </w:p>
    <w:p xmlns:wp14="http://schemas.microsoft.com/office/word/2010/wordml" w:rsidP="2F6FA097" wp14:paraId="0ECC7F59" wp14:textId="2B386D74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Itraconazole trough ≥ 1 µg mL⁻¹; LFTs baseline → weeks 1, 2, 4 → 3‑monthly; urine/serum antigen monthly; CXR/CT q 4–6 mo. </w:t>
      </w:r>
    </w:p>
    <w:p xmlns:wp14="http://schemas.microsoft.com/office/word/2010/wordml" w:rsidP="2F6FA097" wp14:paraId="1585AB12" wp14:textId="2E9DBB91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12. Complications &amp; prognosis</w:t>
      </w:r>
    </w:p>
    <w:p xmlns:wp14="http://schemas.microsoft.com/office/word/2010/wordml" w:rsidP="2F6FA097" wp14:paraId="0EC37DD1" wp14:textId="5149219C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Cavitary destruction, mediastinal granuloma/fibrosis, adrenal insufficiency, chronic meningitis; untreated disseminated disease often fatal but outcomes excellent with timely therapy. </w:t>
      </w:r>
    </w:p>
    <w:p xmlns:wp14="http://schemas.microsoft.com/office/word/2010/wordml" w:rsidP="2F6FA097" wp14:paraId="4CA6C763" wp14:textId="304E9EA0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13. Public‑health advice</w:t>
      </w:r>
    </w:p>
    <w:p xmlns:wp14="http://schemas.microsoft.com/office/word/2010/wordml" w:rsidP="2F6FA097" wp14:paraId="7A448284" wp14:textId="3F9320EE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>Avoid bat/bird‑dropping exposure; respirators for high‑risk work; counsel immunosuppressed travellers.</w:t>
      </w:r>
    </w:p>
    <w:p xmlns:wp14="http://schemas.microsoft.com/office/word/2010/wordml" w:rsidP="2F6FA097" wp14:paraId="248BCBAB" wp14:textId="74544E90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14. Key guideline signposts</w:t>
      </w:r>
    </w:p>
    <w:p xmlns:wp14="http://schemas.microsoft.com/office/word/2010/wordml" w:rsidP="2F6FA097" wp14:paraId="7526450F" wp14:textId="0334D173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IDSA 2007; ECMM/ISHAM 2021; WHO 2020 fungal guidance. </w:t>
      </w:r>
    </w:p>
    <w:p xmlns:wp14="http://schemas.microsoft.com/office/word/2010/wordml" w:rsidP="2F6FA097" wp14:paraId="3236FE74" wp14:textId="40153F00">
      <w:pPr>
        <w:pStyle w:val="Heading4"/>
        <w:bidi w:val="0"/>
        <w:spacing w:before="319" w:beforeAutospacing="off" w:after="319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15. Rapid‑recall regimen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  <w:gridCol w:w="2955"/>
        <w:gridCol w:w="3630"/>
      </w:tblGrid>
      <w:tr w:rsidR="2F6FA097" w:rsidTr="2F6FA097" w14:paraId="29D33887">
        <w:trPr>
          <w:trHeight w:val="300"/>
        </w:trPr>
        <w:tc>
          <w:tcPr>
            <w:tcW w:w="3150" w:type="dxa"/>
            <w:tcMar/>
            <w:vAlign w:val="center"/>
          </w:tcPr>
          <w:p w:rsidR="2F6FA097" w:rsidP="2F6FA097" w:rsidRDefault="2F6FA097" w14:paraId="45AEED8C" w14:textId="71C8A528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Setting</w:t>
            </w:r>
          </w:p>
        </w:tc>
        <w:tc>
          <w:tcPr>
            <w:tcW w:w="2955" w:type="dxa"/>
            <w:tcMar/>
            <w:vAlign w:val="center"/>
          </w:tcPr>
          <w:p w:rsidR="2F6FA097" w:rsidP="2F6FA097" w:rsidRDefault="2F6FA097" w14:paraId="6581E41C" w14:textId="05A631E8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Induction</w:t>
            </w:r>
          </w:p>
        </w:tc>
        <w:tc>
          <w:tcPr>
            <w:tcW w:w="3630" w:type="dxa"/>
            <w:tcMar/>
            <w:vAlign w:val="center"/>
          </w:tcPr>
          <w:p w:rsidR="2F6FA097" w:rsidP="2F6FA097" w:rsidRDefault="2F6FA097" w14:paraId="13EA83D1" w14:textId="7F46E958">
            <w:pPr>
              <w:bidi w:val="0"/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Maintenance</w:t>
            </w:r>
          </w:p>
        </w:tc>
      </w:tr>
      <w:tr w:rsidR="2F6FA097" w:rsidTr="2F6FA097" w14:paraId="1FF1BFED">
        <w:trPr>
          <w:trHeight w:val="300"/>
        </w:trPr>
        <w:tc>
          <w:tcPr>
            <w:tcW w:w="3150" w:type="dxa"/>
            <w:tcMar/>
            <w:vAlign w:val="center"/>
          </w:tcPr>
          <w:p w:rsidR="2F6FA097" w:rsidP="2F6FA097" w:rsidRDefault="2F6FA097" w14:paraId="631455A5" w14:textId="0CAC3469">
            <w:pPr>
              <w:bidi w:val="0"/>
              <w:spacing w:before="0" w:beforeAutospacing="off" w:after="0" w:afterAutospacing="off"/>
            </w:pPr>
            <w:r w:rsidR="2F6FA097">
              <w:rPr/>
              <w:t>Severe/disseminated</w:t>
            </w:r>
          </w:p>
        </w:tc>
        <w:tc>
          <w:tcPr>
            <w:tcW w:w="2955" w:type="dxa"/>
            <w:tcMar/>
            <w:vAlign w:val="center"/>
          </w:tcPr>
          <w:p w:rsidR="2F6FA097" w:rsidP="2F6FA097" w:rsidRDefault="2F6FA097" w14:paraId="353FC0B2" w14:textId="7B5F9730">
            <w:pPr>
              <w:bidi w:val="0"/>
              <w:spacing w:before="0" w:beforeAutospacing="off" w:after="0" w:afterAutospacing="off"/>
            </w:pPr>
            <w:r w:rsidR="2F6FA097">
              <w:rPr/>
              <w:t>L‑AmB 1–2 wks</w:t>
            </w:r>
          </w:p>
        </w:tc>
        <w:tc>
          <w:tcPr>
            <w:tcW w:w="3630" w:type="dxa"/>
            <w:tcMar/>
            <w:vAlign w:val="center"/>
          </w:tcPr>
          <w:p w:rsidR="2F6FA097" w:rsidP="2F6FA097" w:rsidRDefault="2F6FA097" w14:paraId="41CEBF0F" w14:textId="5EF89BE3">
            <w:pPr>
              <w:bidi w:val="0"/>
              <w:spacing w:before="0" w:beforeAutospacing="off" w:after="0" w:afterAutospacing="off"/>
            </w:pPr>
            <w:r w:rsidR="2F6FA097">
              <w:rPr/>
              <w:t>Itraconazole ≥ 12 mo</w:t>
            </w:r>
          </w:p>
        </w:tc>
      </w:tr>
      <w:tr w:rsidR="2F6FA097" w:rsidTr="2F6FA097" w14:paraId="21207D2E">
        <w:trPr>
          <w:trHeight w:val="300"/>
        </w:trPr>
        <w:tc>
          <w:tcPr>
            <w:tcW w:w="3150" w:type="dxa"/>
            <w:tcMar/>
            <w:vAlign w:val="center"/>
          </w:tcPr>
          <w:p w:rsidR="2F6FA097" w:rsidP="2F6FA097" w:rsidRDefault="2F6FA097" w14:paraId="0A9AC2A8" w14:textId="452F1750">
            <w:pPr>
              <w:bidi w:val="0"/>
              <w:spacing w:before="0" w:beforeAutospacing="off" w:after="0" w:afterAutospacing="off"/>
            </w:pPr>
            <w:r w:rsidR="2F6FA097">
              <w:rPr/>
              <w:t>CNS disease</w:t>
            </w:r>
          </w:p>
        </w:tc>
        <w:tc>
          <w:tcPr>
            <w:tcW w:w="2955" w:type="dxa"/>
            <w:tcMar/>
            <w:vAlign w:val="center"/>
          </w:tcPr>
          <w:p w:rsidR="2F6FA097" w:rsidP="2F6FA097" w:rsidRDefault="2F6FA097" w14:paraId="752EF172" w14:textId="4D89FCEE">
            <w:pPr>
              <w:bidi w:val="0"/>
              <w:spacing w:before="0" w:beforeAutospacing="off" w:after="0" w:afterAutospacing="off"/>
            </w:pPr>
            <w:r w:rsidR="2F6FA097">
              <w:rPr/>
              <w:t>L‑AmB 4–6 wks</w:t>
            </w:r>
          </w:p>
        </w:tc>
        <w:tc>
          <w:tcPr>
            <w:tcW w:w="3630" w:type="dxa"/>
            <w:tcMar/>
            <w:vAlign w:val="center"/>
          </w:tcPr>
          <w:p w:rsidR="2F6FA097" w:rsidP="2F6FA097" w:rsidRDefault="2F6FA097" w14:paraId="1790F8DD" w14:textId="7FBC3763">
            <w:pPr>
              <w:bidi w:val="0"/>
              <w:spacing w:before="0" w:beforeAutospacing="off" w:after="0" w:afterAutospacing="off"/>
            </w:pPr>
            <w:r w:rsidR="2F6FA097">
              <w:rPr/>
              <w:t>Itraconazole ≥ 12 mo</w:t>
            </w:r>
          </w:p>
        </w:tc>
      </w:tr>
      <w:tr w:rsidR="2F6FA097" w:rsidTr="2F6FA097" w14:paraId="0C111766">
        <w:trPr>
          <w:trHeight w:val="300"/>
        </w:trPr>
        <w:tc>
          <w:tcPr>
            <w:tcW w:w="3150" w:type="dxa"/>
            <w:tcMar/>
            <w:vAlign w:val="center"/>
          </w:tcPr>
          <w:p w:rsidR="2F6FA097" w:rsidP="2F6FA097" w:rsidRDefault="2F6FA097" w14:paraId="23E7F060" w14:textId="351783E5">
            <w:pPr>
              <w:bidi w:val="0"/>
              <w:spacing w:before="0" w:beforeAutospacing="off" w:after="0" w:afterAutospacing="off"/>
            </w:pPr>
            <w:r w:rsidR="2F6FA097">
              <w:rPr/>
              <w:t>Mild–moderate pulmonary</w:t>
            </w:r>
          </w:p>
        </w:tc>
        <w:tc>
          <w:tcPr>
            <w:tcW w:w="2955" w:type="dxa"/>
            <w:tcMar/>
            <w:vAlign w:val="center"/>
          </w:tcPr>
          <w:p w:rsidR="2F6FA097" w:rsidP="2F6FA097" w:rsidRDefault="2F6FA097" w14:paraId="275EB0FD" w14:textId="191E2B8F">
            <w:pPr>
              <w:bidi w:val="0"/>
              <w:spacing w:before="0" w:beforeAutospacing="off" w:after="0" w:afterAutospacing="off"/>
            </w:pPr>
            <w:r w:rsidR="2F6FA097">
              <w:rPr/>
              <w:t>—</w:t>
            </w:r>
          </w:p>
        </w:tc>
        <w:tc>
          <w:tcPr>
            <w:tcW w:w="3630" w:type="dxa"/>
            <w:tcMar/>
            <w:vAlign w:val="center"/>
          </w:tcPr>
          <w:p w:rsidR="2F6FA097" w:rsidP="2F6FA097" w:rsidRDefault="2F6FA097" w14:paraId="20CCD0B3" w14:textId="7D2D233C">
            <w:pPr>
              <w:bidi w:val="0"/>
              <w:spacing w:before="0" w:beforeAutospacing="off" w:after="0" w:afterAutospacing="off"/>
            </w:pPr>
            <w:r w:rsidR="2F6FA097">
              <w:rPr/>
              <w:t>Itraconazole 6–12 wks</w:t>
            </w:r>
          </w:p>
        </w:tc>
      </w:tr>
      <w:tr w:rsidR="2F6FA097" w:rsidTr="2F6FA097" w14:paraId="7E3701A6">
        <w:trPr>
          <w:trHeight w:val="300"/>
        </w:trPr>
        <w:tc>
          <w:tcPr>
            <w:tcW w:w="3150" w:type="dxa"/>
            <w:tcMar/>
            <w:vAlign w:val="center"/>
          </w:tcPr>
          <w:p w:rsidR="2F6FA097" w:rsidP="2F6FA097" w:rsidRDefault="2F6FA097" w14:paraId="68C6BD19" w14:textId="4C32FC1E">
            <w:pPr>
              <w:bidi w:val="0"/>
              <w:spacing w:before="0" w:beforeAutospacing="off" w:after="0" w:afterAutospacing="off"/>
            </w:pPr>
            <w:r w:rsidR="2F6FA097">
              <w:rPr/>
              <w:t>Pregnancy</w:t>
            </w:r>
          </w:p>
        </w:tc>
        <w:tc>
          <w:tcPr>
            <w:tcW w:w="2955" w:type="dxa"/>
            <w:tcMar/>
            <w:vAlign w:val="center"/>
          </w:tcPr>
          <w:p w:rsidR="2F6FA097" w:rsidP="2F6FA097" w:rsidRDefault="2F6FA097" w14:paraId="5AD13566" w14:textId="5F2D1FEF">
            <w:pPr>
              <w:bidi w:val="0"/>
              <w:spacing w:before="0" w:beforeAutospacing="off" w:after="0" w:afterAutospacing="off"/>
            </w:pPr>
            <w:r w:rsidR="2F6FA097">
              <w:rPr/>
              <w:t>Amphotericin B</w:t>
            </w:r>
          </w:p>
        </w:tc>
        <w:tc>
          <w:tcPr>
            <w:tcW w:w="3630" w:type="dxa"/>
            <w:tcMar/>
            <w:vAlign w:val="center"/>
          </w:tcPr>
          <w:p w:rsidR="2F6FA097" w:rsidP="2F6FA097" w:rsidRDefault="2F6FA097" w14:paraId="6C9D3497" w14:textId="68678F99">
            <w:pPr>
              <w:bidi w:val="0"/>
              <w:spacing w:before="0" w:beforeAutospacing="off" w:after="0" w:afterAutospacing="off"/>
            </w:pPr>
            <w:r w:rsidR="2F6FA097">
              <w:rPr/>
              <w:t>—</w:t>
            </w:r>
          </w:p>
        </w:tc>
      </w:tr>
    </w:tbl>
    <w:p xmlns:wp14="http://schemas.microsoft.com/office/word/2010/wordml" w:rsidP="2F6FA097" wp14:paraId="3A68E320" wp14:textId="12BDDC7A">
      <w:pPr>
        <w:bidi w:val="0"/>
        <w:spacing w:before="240" w:beforeAutospacing="off" w:after="240" w:afterAutospacing="off"/>
        <w:jc w:val="left"/>
      </w:pPr>
      <w:r w:rsidRPr="2F6FA097" w:rsidR="36C521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Exam tip:</w:t>
      </w:r>
      <w:r w:rsidRPr="2F6FA097" w:rsidR="36C521D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Keep the new complication list (Section 6) at your fingertips—you can score easy marks by naming pleural effusion, pericarditis, arthritis, erythema nodosum/multiforme, and CNS meningitis when asked for “presentations of histoplasmosis.”</w:t>
      </w:r>
    </w:p>
    <w:p xmlns:wp14="http://schemas.microsoft.com/office/word/2010/wordml" w:rsidP="2F6FA097" wp14:paraId="2B3C6566" wp14:textId="0835BF90">
      <w:pPr>
        <w:jc w:val="center"/>
      </w:pPr>
      <w:r>
        <w:br w:type="page"/>
      </w:r>
      <w:r w:rsidR="5524A38E">
        <w:drawing>
          <wp:inline xmlns:wp14="http://schemas.microsoft.com/office/word/2010/wordprocessingDrawing" wp14:editId="6A3DCD17" wp14:anchorId="2F5A062B">
            <wp:extent cx="4514850" cy="3371850"/>
            <wp:effectExtent l="0" t="0" r="0" b="0"/>
            <wp:docPr id="1250766713" name="drawing" descr="Methenamine silver stain photomicrograph of the histopathologic changes 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0766713" name=""/>
                    <pic:cNvPicPr/>
                  </pic:nvPicPr>
                  <pic:blipFill>
                    <a:blip xmlns:r="http://schemas.openxmlformats.org/officeDocument/2006/relationships" r:embed="rId16268778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6FA097" wp14:paraId="4FF173E7" wp14:textId="5664F80C">
      <w:pPr>
        <w:pStyle w:val="Heading3"/>
        <w:spacing w:before="281" w:beforeAutospacing="off" w:after="281" w:afterAutospacing="off"/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Histopathological findings in </w:t>
      </w:r>
      <w:r w:rsidRPr="2F6FA097" w:rsidR="5524A38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Histoplasma capsulatum</w:t>
      </w:r>
      <w:r w:rsidRPr="2F6FA097" w:rsidR="5524A3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 infection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7167"/>
        <w:gridCol w:w="513"/>
      </w:tblGrid>
      <w:tr w:rsidR="2F6FA097" w:rsidTr="2F6FA097" w14:paraId="7B7F9E21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5DB19A35" w14:textId="64B4228C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Key feature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1DF33E36" w14:textId="3E52BE41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Exam‑ready details</w:t>
            </w:r>
          </w:p>
        </w:tc>
        <w:tc>
          <w:tcPr>
            <w:tcW w:w="513" w:type="dxa"/>
            <w:tcMar/>
            <w:vAlign w:val="center"/>
          </w:tcPr>
          <w:p w:rsidR="2F6FA097" w:rsidP="2F6FA097" w:rsidRDefault="2F6FA097" w14:paraId="01B4A5B2" w14:textId="313ED1DB">
            <w:pPr>
              <w:spacing w:before="0" w:beforeAutospacing="off" w:after="0" w:afterAutospacing="off"/>
              <w:jc w:val="center"/>
            </w:pPr>
            <w:r w:rsidRPr="2F6FA097" w:rsidR="2F6FA097">
              <w:rPr>
                <w:b w:val="1"/>
                <w:bCs w:val="1"/>
              </w:rPr>
              <w:t>Evidence</w:t>
            </w:r>
          </w:p>
        </w:tc>
      </w:tr>
      <w:tr w:rsidR="2F6FA097" w:rsidTr="2F6FA097" w14:paraId="5A5243EE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1DC1CED9" w14:textId="4EA70BF5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Specimen choice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105FDEED" w14:textId="43ACF176">
            <w:pPr>
              <w:spacing w:before="0" w:beforeAutospacing="off" w:after="0" w:afterAutospacing="off"/>
            </w:pPr>
            <w:r w:rsidR="2F6FA097">
              <w:rPr/>
              <w:t xml:space="preserve">Always obtain tissue when possible for rapid microscopy </w:t>
            </w:r>
            <w:r w:rsidRPr="2F6FA097" w:rsidR="2F6FA097">
              <w:rPr>
                <w:b w:val="1"/>
                <w:bCs w:val="1"/>
              </w:rPr>
              <w:t>and</w:t>
            </w:r>
            <w:r w:rsidR="2F6FA097">
              <w:rPr/>
              <w:t xml:space="preserve"> culture.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54A22FF8" w14:textId="60BAC0D2"/>
        </w:tc>
      </w:tr>
      <w:tr w:rsidR="2F6FA097" w:rsidTr="2F6FA097" w14:paraId="03CCBE46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08300CB2" w14:textId="38479E5B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Special stains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4412F6BF" w14:textId="17B0C759">
            <w:pPr>
              <w:spacing w:before="0" w:beforeAutospacing="off" w:after="0" w:afterAutospacing="off"/>
            </w:pPr>
            <w:r w:rsidR="2F6FA097">
              <w:rPr/>
              <w:t>• Periodic acid‑Schiff (PAS) • Grocott methenamine‑silver (GMS)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7F29F5DD" w14:textId="1EA64087"/>
        </w:tc>
      </w:tr>
      <w:tr w:rsidR="2F6FA097" w:rsidTr="2F6FA097" w14:paraId="3BE3DFC5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4CCF98B3" w14:textId="71493F0B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Yeast morphology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1F49FE72" w14:textId="033B770A">
            <w:pPr>
              <w:spacing w:before="0" w:beforeAutospacing="off" w:after="0" w:afterAutospacing="off"/>
            </w:pPr>
            <w:r w:rsidR="2F6FA097">
              <w:rPr/>
              <w:t xml:space="preserve">Small, oval, narrow‑based budding yeasts </w:t>
            </w:r>
            <w:r w:rsidRPr="2F6FA097" w:rsidR="2F6FA097">
              <w:rPr>
                <w:b w:val="1"/>
                <w:bCs w:val="1"/>
              </w:rPr>
              <w:t>2‑4 µm</w:t>
            </w:r>
            <w:r w:rsidR="2F6FA097">
              <w:rPr/>
              <w:t xml:space="preserve">; typically cluster </w:t>
            </w:r>
            <w:r w:rsidRPr="2F6FA097" w:rsidR="2F6FA097">
              <w:rPr>
                <w:b w:val="1"/>
                <w:bCs w:val="1"/>
              </w:rPr>
              <w:t>intracellularly within macrophages/giant cells</w:t>
            </w:r>
            <w:r w:rsidR="2F6FA097">
              <w:rPr/>
              <w:t xml:space="preserve"> (“halo” on H&amp;E due to shrinkage artefact).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5BBB3440" w14:textId="79B05D5D"/>
        </w:tc>
      </w:tr>
      <w:tr w:rsidR="2F6FA097" w:rsidTr="2F6FA097" w14:paraId="52EEFDD5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12637F42" w14:textId="3ECF13C1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Tissue reaction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3EC15478" w14:textId="3ADED93A">
            <w:pPr>
              <w:spacing w:before="0" w:beforeAutospacing="off" w:after="0" w:afterAutospacing="off"/>
            </w:pPr>
            <w:r w:rsidR="2F6FA097">
              <w:rPr/>
              <w:t xml:space="preserve">Necrotising or non‑necrotising </w:t>
            </w:r>
            <w:r w:rsidRPr="2F6FA097" w:rsidR="2F6FA097">
              <w:rPr>
                <w:b w:val="1"/>
                <w:bCs w:val="1"/>
              </w:rPr>
              <w:t>granulomas</w:t>
            </w:r>
            <w:r w:rsidR="2F6FA097">
              <w:rPr/>
              <w:t>; may progress to fibro‑caseous nodules or fibrosing mediastinitis.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5A9DF611" w14:textId="2F0D2A23"/>
        </w:tc>
      </w:tr>
      <w:tr w:rsidR="2F6FA097" w:rsidTr="2F6FA097" w14:paraId="6A2BC706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16EAFED8" w14:textId="15AD14EA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Diagnostic yield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11BFE75B" w14:textId="03CC4664">
            <w:pPr>
              <w:spacing w:before="0" w:beforeAutospacing="off" w:after="0" w:afterAutospacing="off"/>
            </w:pPr>
            <w:r w:rsidR="2F6FA097">
              <w:rPr/>
              <w:t>Histology gives an immediate answer, but sensitivity falls with low fungal burden or heavy immunosuppression.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22D4706B" w14:textId="1811CB37"/>
        </w:tc>
      </w:tr>
      <w:tr w:rsidR="2F6FA097" w:rsidTr="2F6FA097" w14:paraId="03D64577">
        <w:trPr>
          <w:trHeight w:val="300"/>
        </w:trPr>
        <w:tc>
          <w:tcPr>
            <w:tcW w:w="2775" w:type="dxa"/>
            <w:tcMar/>
            <w:vAlign w:val="center"/>
          </w:tcPr>
          <w:p w:rsidR="2F6FA097" w:rsidP="2F6FA097" w:rsidRDefault="2F6FA097" w14:paraId="012EADEE" w14:textId="4188C9A4">
            <w:pPr>
              <w:spacing w:before="0" w:beforeAutospacing="off" w:after="0" w:afterAutospacing="off"/>
            </w:pPr>
            <w:r w:rsidRPr="2F6FA097" w:rsidR="2F6FA097">
              <w:rPr>
                <w:b w:val="1"/>
                <w:bCs w:val="1"/>
              </w:rPr>
              <w:t>Disseminated disease clues</w:t>
            </w:r>
          </w:p>
        </w:tc>
        <w:tc>
          <w:tcPr>
            <w:tcW w:w="7167" w:type="dxa"/>
            <w:tcMar/>
            <w:vAlign w:val="center"/>
          </w:tcPr>
          <w:p w:rsidR="2F6FA097" w:rsidP="2F6FA097" w:rsidRDefault="2F6FA097" w14:paraId="0B1FECB9" w14:textId="746910D0">
            <w:pPr>
              <w:spacing w:before="0" w:beforeAutospacing="off" w:after="0" w:afterAutospacing="off"/>
            </w:pPr>
            <w:r w:rsidR="2F6FA097">
              <w:rPr/>
              <w:t>Bone‑marrow trephine/aspirate often packed with yeasts; especially useful in AIDS or other severe immunosuppression.</w:t>
            </w:r>
          </w:p>
        </w:tc>
        <w:tc>
          <w:tcPr>
            <w:tcW w:w="513" w:type="dxa"/>
            <w:tcMar/>
            <w:vAlign w:val="center"/>
          </w:tcPr>
          <w:p w:rsidR="2F6FA097" w:rsidRDefault="2F6FA097" w14:paraId="33D314E7" w14:textId="2D321AED"/>
        </w:tc>
      </w:tr>
    </w:tbl>
    <w:p xmlns:wp14="http://schemas.microsoft.com/office/word/2010/wordml" w:rsidP="2F6FA097" wp14:paraId="5777AF91" wp14:textId="6BE69465">
      <w:pPr>
        <w:bidi w:val="0"/>
        <w:spacing w:before="240" w:beforeAutospacing="off" w:after="240" w:afterAutospacing="off"/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How to use this in viva/OSPE</w:t>
      </w:r>
    </w:p>
    <w:p xmlns:wp14="http://schemas.microsoft.com/office/word/2010/wordml" w:rsidP="2F6FA097" wp14:paraId="048DB511" wp14:textId="1F8E61E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Quote the size &amp; location first</w:t>
      </w:r>
      <w:r w:rsidRPr="2F6FA097" w:rsidR="5524A38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(“2–4 µm intracellular yeasts on GMS”); examiners expect that figure.</w:t>
      </w:r>
    </w:p>
    <w:p xmlns:wp14="http://schemas.microsoft.com/office/word/2010/wordml" w:rsidP="2F6FA097" wp14:paraId="356781A7" wp14:textId="1779DF1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Name at least two stains</w:t>
      </w:r>
      <w:r w:rsidRPr="2F6FA097" w:rsidR="5524A38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(PAS &amp; GMS) and why they help (highlight cell wall).</w:t>
      </w:r>
    </w:p>
    <w:p xmlns:wp14="http://schemas.microsoft.com/office/word/2010/wordml" w:rsidP="2F6FA097" wp14:paraId="2B9F531A" wp14:textId="59D89E3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Describe the host response</w:t>
      </w:r>
      <w:r w:rsidRPr="2F6FA097" w:rsidR="5524A38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(granulomatous ± caseation).</w:t>
      </w:r>
    </w:p>
    <w:p xmlns:wp14="http://schemas.microsoft.com/office/word/2010/wordml" w:rsidP="2F6FA097" wp14:paraId="197CD942" wp14:textId="792544B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Link histology to clinical setting</w:t>
      </w:r>
      <w:r w:rsidRPr="2F6FA097" w:rsidR="5524A38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low organism load in acute pulmonary disease, heavy load in bone marrow of disseminated HIV cases.</w:t>
      </w:r>
    </w:p>
    <w:p xmlns:wp14="http://schemas.microsoft.com/office/word/2010/wordml" w:rsidP="2F6FA097" wp14:paraId="3423BD8E" wp14:textId="79E8BA5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F6FA097" w:rsidR="5524A38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Remember pitfalls</w:t>
      </w:r>
      <w:r w:rsidRPr="2F6FA097" w:rsidR="5524A38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scant organisms may be missed on H&amp;E; biopsy sensitivity varies with immunocompetence.</w:t>
      </w:r>
    </w:p>
    <w:p xmlns:wp14="http://schemas.microsoft.com/office/word/2010/wordml" w:rsidP="2F6FA097" wp14:paraId="7AE182F2" wp14:textId="4331030F">
      <w:pPr>
        <w:bidi w:val="0"/>
        <w:spacing w:before="240" w:beforeAutospacing="off" w:after="240" w:afterAutospacing="off"/>
      </w:pPr>
      <w:r w:rsidRPr="2F6FA097" w:rsidR="5524A38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(Images above illustrate classic intracellular yeasts on GMS, PAS and H&amp;E, plus a composite bone‑marrow panel to reinforce these points.)</w:t>
      </w:r>
    </w:p>
    <w:p xmlns:wp14="http://schemas.microsoft.com/office/word/2010/wordml" w:rsidP="2F6FA097" wp14:paraId="19E2B951" wp14:textId="6DD3B997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  <w:r w:rsidRPr="2F6FA097" w:rsidR="53AE9B7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------------</w:t>
      </w:r>
    </w:p>
    <w:p xmlns:wp14="http://schemas.microsoft.com/office/word/2010/wordml" w:rsidP="2F6FA097" wp14:paraId="59A11ACD" wp14:textId="30A2FC70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</w:pPr>
    </w:p>
    <w:p xmlns:wp14="http://schemas.microsoft.com/office/word/2010/wordml" wp14:paraId="5E5787A5" wp14:textId="524316B7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b671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66d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9b0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0f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b1b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932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3a2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4f1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37EB6"/>
    <w:rsid w:val="0CCE978D"/>
    <w:rsid w:val="145B9FBC"/>
    <w:rsid w:val="145B9FBC"/>
    <w:rsid w:val="2DF68EDA"/>
    <w:rsid w:val="2F6FA097"/>
    <w:rsid w:val="36C521DE"/>
    <w:rsid w:val="3A78A36A"/>
    <w:rsid w:val="413C1E80"/>
    <w:rsid w:val="53AE9B7A"/>
    <w:rsid w:val="53B12D56"/>
    <w:rsid w:val="5524A38E"/>
    <w:rsid w:val="5D4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7EB6"/>
  <w15:chartTrackingRefBased/>
  <w15:docId w15:val="{E54D74B3-0ECE-47BE-92A7-8826329BD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6FA09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6FA097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eastAsiaTheme="majorEastAsia" w:cstheme="majorBidi"/>
      <w:i/>
      <w:iCs/>
      <w:color w:val="0F4761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80" w:after="40"/>
      <w:outlineLvl xmlns:w="http://schemas.openxmlformats.org/wordprocessingml/2006/main" w:val="3"/>
    </w:pPr>
    <w:rPr xmlns:w="http://schemas.openxmlformats.org/wordprocessingml/2006/main">
      <w:rFonts w:eastAsiaTheme="majorEastAsia" w:cstheme="majorBidi"/>
      <w:i/>
      <w:iCs/>
      <w:color w:val="0F4761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Id1626877819" /><Relationship Type="http://schemas.openxmlformats.org/officeDocument/2006/relationships/numbering" Target="/word/numbering.xml" Id="Rac1ff61a558143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2025-07-24T15:44:37.3818448Z</dcterms:created>
  <dcterms:modified xsi:type="dcterms:W3CDTF">2025-07-24T16:01:00.6812425Z</dcterms:modified>
</coreProperties>
</file>