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19DAB5B8" w:rsidP="61AA7794" w:rsidRDefault="19DAB5B8" w14:paraId="5B4A2D72" w14:textId="0291E655">
      <w:pPr>
        <w:spacing w:before="240" w:after="240"/>
      </w:pPr>
      <w:r w:rsidRPr="61AA7794">
        <w:rPr>
          <w:rFonts w:ascii="Aptos" w:hAnsi="Aptos" w:eastAsia="Aptos" w:cs="Aptos"/>
          <w:b/>
          <w:bCs/>
        </w:rPr>
        <w:t xml:space="preserve">Endemic Dimorphic Fungi – </w:t>
      </w:r>
      <w:proofErr w:type="spellStart"/>
      <w:r w:rsidRPr="61AA7794">
        <w:rPr>
          <w:rFonts w:ascii="Aptos" w:hAnsi="Aptos" w:eastAsia="Aptos" w:cs="Aptos"/>
          <w:b/>
          <w:bCs/>
        </w:rPr>
        <w:t>FRCPath</w:t>
      </w:r>
      <w:proofErr w:type="spellEnd"/>
      <w:r w:rsidRPr="61AA7794">
        <w:rPr>
          <w:rFonts w:ascii="Aptos" w:hAnsi="Aptos" w:eastAsia="Aptos" w:cs="Aptos"/>
          <w:b/>
          <w:bCs/>
        </w:rPr>
        <w:t xml:space="preserve"> Part 2 “Exam-Complete” Revision Sheet</w:t>
      </w:r>
    </w:p>
    <w:p w:rsidR="19DAB5B8" w:rsidP="61AA7794" w:rsidRDefault="19DAB5B8" w14:paraId="449E9DA8" w14:textId="4B47B0E6">
      <w:pPr>
        <w:spacing w:before="240" w:after="240"/>
      </w:pPr>
      <w:r w:rsidRPr="61AA7794">
        <w:rPr>
          <w:rFonts w:ascii="Aptos" w:hAnsi="Aptos" w:eastAsia="Aptos" w:cs="Aptos"/>
        </w:rPr>
        <w:t xml:space="preserve"> (Primary source = Oxford </w:t>
      </w:r>
      <w:r w:rsidRPr="61AA7794">
        <w:rPr>
          <w:rFonts w:ascii="Aptos" w:hAnsi="Aptos" w:eastAsia="Aptos" w:cs="Aptos"/>
          <w:i/>
          <w:iCs/>
        </w:rPr>
        <w:t>Textbook of Medical Mycology</w:t>
      </w:r>
      <w:r w:rsidRPr="61AA7794">
        <w:rPr>
          <w:rFonts w:ascii="Aptos" w:hAnsi="Aptos" w:eastAsia="Aptos" w:cs="Aptos"/>
        </w:rPr>
        <w:t xml:space="preserve">, Ch 16 PDF) </w:t>
      </w:r>
    </w:p>
    <w:p w:rsidR="61AA7794" w:rsidRDefault="61AA7794" w14:paraId="58FBAE22" w14:textId="0DC6373D"/>
    <w:p w:rsidR="19DAB5B8" w:rsidP="61AA7794" w:rsidRDefault="19DAB5B8" w14:paraId="2DBAE2CF" w14:textId="7305F5EC">
      <w:pPr>
        <w:pStyle w:val="Heading2"/>
        <w:spacing w:before="299" w:after="299"/>
      </w:pPr>
      <w:r w:rsidRPr="61AA7794">
        <w:rPr>
          <w:rFonts w:ascii="Aptos" w:hAnsi="Aptos" w:eastAsia="Aptos" w:cs="Aptos"/>
          <w:b/>
          <w:bCs/>
          <w:sz w:val="36"/>
          <w:szCs w:val="36"/>
        </w:rPr>
        <w:t>1 Quick “Where-they-sit” Taxonomy</w:t>
      </w:r>
    </w:p>
    <w:tbl>
      <w:tblPr>
        <w:tblW w:w="15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4395"/>
        <w:gridCol w:w="5665"/>
        <w:gridCol w:w="5533"/>
      </w:tblGrid>
      <w:tr w:rsidR="61AA7794" w:rsidTr="003D1E7D" w14:paraId="18870399" w14:textId="77777777">
        <w:trPr>
          <w:trHeight w:val="300"/>
        </w:trPr>
        <w:tc>
          <w:tcPr>
            <w:tcW w:w="4395" w:type="dxa"/>
            <w:vAlign w:val="center"/>
          </w:tcPr>
          <w:p w:rsidR="61AA7794" w:rsidP="61AA7794" w:rsidRDefault="61AA7794" w14:paraId="40C5642F" w14:textId="24742148">
            <w:pPr>
              <w:spacing w:after="0"/>
              <w:jc w:val="center"/>
            </w:pPr>
            <w:r w:rsidRPr="61AA7794">
              <w:rPr>
                <w:b/>
                <w:bCs/>
              </w:rPr>
              <w:t>Family</w:t>
            </w:r>
          </w:p>
        </w:tc>
        <w:tc>
          <w:tcPr>
            <w:tcW w:w="5665" w:type="dxa"/>
            <w:vAlign w:val="center"/>
          </w:tcPr>
          <w:p w:rsidR="61AA7794" w:rsidP="61AA7794" w:rsidRDefault="61AA7794" w14:paraId="6C80B475" w14:textId="6B957C38">
            <w:pPr>
              <w:spacing w:after="0"/>
              <w:jc w:val="center"/>
            </w:pPr>
            <w:r w:rsidRPr="61AA7794">
              <w:rPr>
                <w:b/>
                <w:bCs/>
              </w:rPr>
              <w:t xml:space="preserve">Genera now examined in </w:t>
            </w:r>
            <w:proofErr w:type="spellStart"/>
            <w:r w:rsidRPr="61AA7794">
              <w:rPr>
                <w:b/>
                <w:bCs/>
              </w:rPr>
              <w:t>FRCPath</w:t>
            </w:r>
            <w:proofErr w:type="spellEnd"/>
          </w:p>
        </w:tc>
        <w:tc>
          <w:tcPr>
            <w:tcW w:w="5533" w:type="dxa"/>
            <w:vAlign w:val="center"/>
          </w:tcPr>
          <w:p w:rsidR="61AA7794" w:rsidP="61AA7794" w:rsidRDefault="61AA7794" w14:paraId="6F095D24" w14:textId="72D6715E">
            <w:pPr>
              <w:spacing w:after="0"/>
              <w:jc w:val="center"/>
            </w:pPr>
            <w:r w:rsidRPr="61AA7794">
              <w:rPr>
                <w:b/>
                <w:bCs/>
              </w:rPr>
              <w:t>Notes</w:t>
            </w:r>
          </w:p>
        </w:tc>
      </w:tr>
      <w:tr w:rsidR="61AA7794" w:rsidTr="003D1E7D" w14:paraId="0FD05CC9" w14:textId="77777777">
        <w:trPr>
          <w:trHeight w:val="300"/>
        </w:trPr>
        <w:tc>
          <w:tcPr>
            <w:tcW w:w="4395" w:type="dxa"/>
            <w:vAlign w:val="center"/>
          </w:tcPr>
          <w:p w:rsidR="61AA7794" w:rsidP="61AA7794" w:rsidRDefault="61AA7794" w14:paraId="096F8EFB" w14:textId="2610CFEC">
            <w:pPr>
              <w:spacing w:after="0"/>
            </w:pPr>
            <w:proofErr w:type="spellStart"/>
            <w:r w:rsidRPr="61AA7794">
              <w:rPr>
                <w:b/>
                <w:bCs/>
              </w:rPr>
              <w:t>Ajellomycetaceae</w:t>
            </w:r>
            <w:proofErr w:type="spellEnd"/>
          </w:p>
        </w:tc>
        <w:tc>
          <w:tcPr>
            <w:tcW w:w="5665" w:type="dxa"/>
            <w:vAlign w:val="center"/>
          </w:tcPr>
          <w:p w:rsidR="00DE4B99" w:rsidP="61AA7794" w:rsidRDefault="61AA7794" w14:paraId="7860403B" w14:textId="77777777">
            <w:pPr>
              <w:spacing w:after="0"/>
            </w:pPr>
            <w:r w:rsidRPr="61AA7794">
              <w:rPr>
                <w:i/>
                <w:iCs/>
              </w:rPr>
              <w:t>Histoplasma</w:t>
            </w:r>
            <w:r>
              <w:t xml:space="preserve">, </w:t>
            </w:r>
          </w:p>
          <w:p w:rsidR="00DE4B99" w:rsidP="61AA7794" w:rsidRDefault="61AA7794" w14:paraId="02A29C09" w14:textId="77777777">
            <w:pPr>
              <w:spacing w:after="0"/>
            </w:pPr>
            <w:r w:rsidRPr="61AA7794">
              <w:rPr>
                <w:i/>
                <w:iCs/>
              </w:rPr>
              <w:t>Blastomyces</w:t>
            </w:r>
            <w:r>
              <w:t xml:space="preserve"> (incl. </w:t>
            </w:r>
            <w:r w:rsidRPr="61AA7794">
              <w:rPr>
                <w:b/>
                <w:bCs/>
                <w:i/>
                <w:iCs/>
              </w:rPr>
              <w:t xml:space="preserve">B. </w:t>
            </w:r>
            <w:proofErr w:type="spellStart"/>
            <w:r w:rsidRPr="61AA7794">
              <w:rPr>
                <w:b/>
                <w:bCs/>
                <w:i/>
                <w:iCs/>
              </w:rPr>
              <w:t>gilchristii</w:t>
            </w:r>
            <w:proofErr w:type="spellEnd"/>
            <w:r>
              <w:t xml:space="preserve">), </w:t>
            </w:r>
          </w:p>
          <w:p w:rsidR="00DE4B99" w:rsidP="61AA7794" w:rsidRDefault="61AA7794" w14:paraId="07407070" w14:textId="77777777">
            <w:pPr>
              <w:spacing w:after="0"/>
            </w:pPr>
            <w:r w:rsidRPr="61AA7794">
              <w:rPr>
                <w:i/>
                <w:iCs/>
              </w:rPr>
              <w:t>Paracoccidioides</w:t>
            </w:r>
            <w:r>
              <w:t xml:space="preserve">, </w:t>
            </w:r>
          </w:p>
          <w:p w:rsidR="61AA7794" w:rsidP="61AA7794" w:rsidRDefault="61AA7794" w14:paraId="3CE7CFEB" w14:textId="3348B47A">
            <w:pPr>
              <w:spacing w:after="0"/>
            </w:pPr>
            <w:proofErr w:type="spellStart"/>
            <w:r w:rsidRPr="61AA7794">
              <w:rPr>
                <w:i/>
                <w:iCs/>
              </w:rPr>
              <w:t>Emmonsia</w:t>
            </w:r>
            <w:proofErr w:type="spellEnd"/>
            <w:r>
              <w:t xml:space="preserve"> complex</w:t>
            </w:r>
          </w:p>
        </w:tc>
        <w:tc>
          <w:tcPr>
            <w:tcW w:w="5533" w:type="dxa"/>
            <w:vAlign w:val="center"/>
          </w:tcPr>
          <w:p w:rsidR="003D1E7D" w:rsidP="61AA7794" w:rsidRDefault="61AA7794" w14:paraId="21F80A13" w14:textId="77777777">
            <w:pPr>
              <w:spacing w:after="0"/>
            </w:pPr>
            <w:r>
              <w:t xml:space="preserve">Classic soil </w:t>
            </w:r>
            <w:proofErr w:type="spellStart"/>
            <w:r>
              <w:t>dimorphics</w:t>
            </w:r>
            <w:proofErr w:type="spellEnd"/>
            <w:r>
              <w:t xml:space="preserve"> of the </w:t>
            </w:r>
            <w:proofErr w:type="gramStart"/>
            <w:r>
              <w:t>Americas;</w:t>
            </w:r>
            <w:proofErr w:type="gramEnd"/>
            <w:r>
              <w:t xml:space="preserve"> </w:t>
            </w:r>
          </w:p>
          <w:p w:rsidR="61AA7794" w:rsidP="61AA7794" w:rsidRDefault="61AA7794" w14:paraId="0502BF07" w14:textId="1B7CE8B4">
            <w:pPr>
              <w:spacing w:after="0"/>
            </w:pPr>
            <w:proofErr w:type="spellStart"/>
            <w:r>
              <w:t>Emmonsia</w:t>
            </w:r>
            <w:proofErr w:type="spellEnd"/>
            <w:r>
              <w:t xml:space="preserve"> = emerging opportunist</w:t>
            </w:r>
          </w:p>
        </w:tc>
      </w:tr>
      <w:tr w:rsidR="61AA7794" w:rsidTr="003D1E7D" w14:paraId="3845455E" w14:textId="77777777">
        <w:trPr>
          <w:trHeight w:val="300"/>
        </w:trPr>
        <w:tc>
          <w:tcPr>
            <w:tcW w:w="4395" w:type="dxa"/>
            <w:vAlign w:val="center"/>
          </w:tcPr>
          <w:p w:rsidR="61AA7794" w:rsidP="61AA7794" w:rsidRDefault="61AA7794" w14:paraId="2F12CA8A" w14:textId="10F867C0">
            <w:pPr>
              <w:spacing w:after="0"/>
            </w:pPr>
            <w:proofErr w:type="spellStart"/>
            <w:r w:rsidRPr="61AA7794">
              <w:rPr>
                <w:b/>
                <w:bCs/>
              </w:rPr>
              <w:t>Onygenaceae</w:t>
            </w:r>
            <w:proofErr w:type="spellEnd"/>
          </w:p>
        </w:tc>
        <w:tc>
          <w:tcPr>
            <w:tcW w:w="5665" w:type="dxa"/>
            <w:vAlign w:val="center"/>
          </w:tcPr>
          <w:p w:rsidR="61AA7794" w:rsidP="61AA7794" w:rsidRDefault="61AA7794" w14:paraId="0F1B8EB2" w14:textId="789AE073">
            <w:pPr>
              <w:spacing w:after="0"/>
            </w:pPr>
            <w:r w:rsidRPr="61AA7794">
              <w:rPr>
                <w:i/>
                <w:iCs/>
              </w:rPr>
              <w:t xml:space="preserve">Coccidioides immitis / </w:t>
            </w:r>
            <w:proofErr w:type="spellStart"/>
            <w:r w:rsidRPr="61AA7794">
              <w:rPr>
                <w:i/>
                <w:iCs/>
              </w:rPr>
              <w:t>posadasii</w:t>
            </w:r>
            <w:proofErr w:type="spellEnd"/>
          </w:p>
        </w:tc>
        <w:tc>
          <w:tcPr>
            <w:tcW w:w="5533" w:type="dxa"/>
            <w:vAlign w:val="center"/>
          </w:tcPr>
          <w:p w:rsidR="61AA7794" w:rsidP="61AA7794" w:rsidRDefault="61AA7794" w14:paraId="7BC1CC60" w14:textId="46D7B3D9">
            <w:pPr>
              <w:spacing w:after="0"/>
            </w:pPr>
            <w:r>
              <w:t xml:space="preserve">True desert fungus; arthroconidia in dust </w:t>
            </w:r>
          </w:p>
        </w:tc>
      </w:tr>
      <w:tr w:rsidR="61AA7794" w:rsidTr="003D1E7D" w14:paraId="67D750A0" w14:textId="77777777">
        <w:trPr>
          <w:trHeight w:val="300"/>
        </w:trPr>
        <w:tc>
          <w:tcPr>
            <w:tcW w:w="4395" w:type="dxa"/>
            <w:vAlign w:val="center"/>
          </w:tcPr>
          <w:p w:rsidR="61AA7794" w:rsidP="61AA7794" w:rsidRDefault="61AA7794" w14:paraId="363B0342" w14:textId="2327322F">
            <w:pPr>
              <w:spacing w:after="0"/>
            </w:pPr>
            <w:proofErr w:type="spellStart"/>
            <w:r w:rsidRPr="61AA7794">
              <w:rPr>
                <w:b/>
                <w:bCs/>
              </w:rPr>
              <w:t>Trichocomaceae</w:t>
            </w:r>
            <w:proofErr w:type="spellEnd"/>
          </w:p>
        </w:tc>
        <w:tc>
          <w:tcPr>
            <w:tcW w:w="5665" w:type="dxa"/>
            <w:vAlign w:val="center"/>
          </w:tcPr>
          <w:p w:rsidR="61AA7794" w:rsidP="61AA7794" w:rsidRDefault="61AA7794" w14:paraId="77F3059A" w14:textId="464E8A3D">
            <w:pPr>
              <w:spacing w:after="0"/>
            </w:pPr>
            <w:proofErr w:type="spellStart"/>
            <w:r w:rsidRPr="61AA7794">
              <w:rPr>
                <w:i/>
                <w:iCs/>
              </w:rPr>
              <w:t>Talaromyces</w:t>
            </w:r>
            <w:proofErr w:type="spellEnd"/>
            <w:r w:rsidRPr="61AA7794">
              <w:rPr>
                <w:i/>
                <w:iCs/>
              </w:rPr>
              <w:t xml:space="preserve"> (Penicillium) </w:t>
            </w:r>
            <w:proofErr w:type="spellStart"/>
            <w:r w:rsidRPr="61AA7794">
              <w:rPr>
                <w:i/>
                <w:iCs/>
              </w:rPr>
              <w:t>marneffei</w:t>
            </w:r>
            <w:proofErr w:type="spellEnd"/>
          </w:p>
        </w:tc>
        <w:tc>
          <w:tcPr>
            <w:tcW w:w="5533" w:type="dxa"/>
            <w:vAlign w:val="center"/>
          </w:tcPr>
          <w:p w:rsidR="61AA7794" w:rsidP="61AA7794" w:rsidRDefault="61AA7794" w14:paraId="2A18710A" w14:textId="418DC436">
            <w:pPr>
              <w:spacing w:after="0"/>
            </w:pPr>
            <w:r>
              <w:t xml:space="preserve">SE-Asian pathogen; red-pigment mould phase </w:t>
            </w:r>
          </w:p>
        </w:tc>
      </w:tr>
    </w:tbl>
    <w:p w:rsidR="61AA7794" w:rsidRDefault="61AA7794" w14:paraId="5DDCB9F9" w14:textId="388A964A"/>
    <w:p w:rsidR="19DAB5B8" w:rsidP="61AA7794" w:rsidRDefault="19DAB5B8" w14:paraId="6FBB4EF8" w14:textId="6D1F3AAF">
      <w:pPr>
        <w:pStyle w:val="Heading2"/>
        <w:spacing w:before="299" w:after="299"/>
      </w:pPr>
      <w:r w:rsidRPr="61AA7794">
        <w:rPr>
          <w:rFonts w:ascii="Aptos" w:hAnsi="Aptos" w:eastAsia="Aptos" w:cs="Aptos"/>
          <w:b/>
          <w:bCs/>
          <w:sz w:val="36"/>
          <w:szCs w:val="36"/>
        </w:rPr>
        <w:t xml:space="preserve">2 Core Concepts (apply to all endemic </w:t>
      </w:r>
      <w:proofErr w:type="spellStart"/>
      <w:r w:rsidRPr="61AA7794">
        <w:rPr>
          <w:rFonts w:ascii="Aptos" w:hAnsi="Aptos" w:eastAsia="Aptos" w:cs="Aptos"/>
          <w:b/>
          <w:bCs/>
          <w:sz w:val="36"/>
          <w:szCs w:val="36"/>
        </w:rPr>
        <w:t>dimorphics</w:t>
      </w:r>
      <w:proofErr w:type="spellEnd"/>
      <w:r w:rsidRPr="61AA7794">
        <w:rPr>
          <w:rFonts w:ascii="Aptos" w:hAnsi="Aptos" w:eastAsia="Aptos" w:cs="Aptos"/>
          <w:b/>
          <w:bCs/>
          <w:sz w:val="36"/>
          <w:szCs w:val="36"/>
        </w:rPr>
        <w:t>)</w:t>
      </w:r>
    </w:p>
    <w:tbl>
      <w:tblPr>
        <w:tblW w:w="15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5245"/>
        <w:gridCol w:w="10348"/>
      </w:tblGrid>
      <w:tr w:rsidR="61AA7794" w:rsidTr="00DE4B99" w14:paraId="6FE48A94" w14:textId="77777777">
        <w:trPr>
          <w:trHeight w:val="300"/>
        </w:trPr>
        <w:tc>
          <w:tcPr>
            <w:tcW w:w="5245" w:type="dxa"/>
            <w:vAlign w:val="center"/>
          </w:tcPr>
          <w:p w:rsidR="61AA7794" w:rsidP="61AA7794" w:rsidRDefault="61AA7794" w14:paraId="1A8F2A70" w14:textId="1EBDA871">
            <w:pPr>
              <w:spacing w:after="0"/>
              <w:jc w:val="center"/>
            </w:pPr>
            <w:r w:rsidRPr="61AA7794">
              <w:rPr>
                <w:b/>
                <w:bCs/>
              </w:rPr>
              <w:t>Topic</w:t>
            </w:r>
          </w:p>
        </w:tc>
        <w:tc>
          <w:tcPr>
            <w:tcW w:w="10348" w:type="dxa"/>
            <w:vAlign w:val="center"/>
          </w:tcPr>
          <w:p w:rsidR="61AA7794" w:rsidP="61AA7794" w:rsidRDefault="61AA7794" w14:paraId="15B789E4" w14:textId="1E172870">
            <w:pPr>
              <w:spacing w:after="0"/>
              <w:jc w:val="center"/>
            </w:pPr>
            <w:r w:rsidRPr="61AA7794">
              <w:rPr>
                <w:b/>
                <w:bCs/>
              </w:rPr>
              <w:t>High-yield facts</w:t>
            </w:r>
          </w:p>
        </w:tc>
      </w:tr>
      <w:tr w:rsidR="61AA7794" w:rsidTr="00DE4B99" w14:paraId="189CB535" w14:textId="77777777">
        <w:trPr>
          <w:trHeight w:val="300"/>
        </w:trPr>
        <w:tc>
          <w:tcPr>
            <w:tcW w:w="5245" w:type="dxa"/>
            <w:vAlign w:val="center"/>
          </w:tcPr>
          <w:p w:rsidR="61AA7794" w:rsidP="61AA7794" w:rsidRDefault="61AA7794" w14:paraId="6BA402CC" w14:textId="0244BFF6">
            <w:pPr>
              <w:spacing w:after="0"/>
            </w:pPr>
            <w:r w:rsidRPr="61AA7794">
              <w:rPr>
                <w:b/>
                <w:bCs/>
              </w:rPr>
              <w:t>Thermal dimorphism</w:t>
            </w:r>
          </w:p>
        </w:tc>
        <w:tc>
          <w:tcPr>
            <w:tcW w:w="10348" w:type="dxa"/>
            <w:vAlign w:val="center"/>
          </w:tcPr>
          <w:p w:rsidR="61AA7794" w:rsidP="61AA7794" w:rsidRDefault="61AA7794" w14:paraId="01CAE589" w14:textId="4C3ED35C">
            <w:pPr>
              <w:spacing w:after="0"/>
            </w:pPr>
            <w:r>
              <w:t>Mould (≤ 25 °C) → yeast (37 °C); switch is virulence factor.</w:t>
            </w:r>
          </w:p>
        </w:tc>
      </w:tr>
      <w:tr w:rsidR="61AA7794" w:rsidTr="00DE4B99" w14:paraId="5E34CB52" w14:textId="77777777">
        <w:trPr>
          <w:trHeight w:val="300"/>
        </w:trPr>
        <w:tc>
          <w:tcPr>
            <w:tcW w:w="5245" w:type="dxa"/>
            <w:vAlign w:val="center"/>
          </w:tcPr>
          <w:p w:rsidR="61AA7794" w:rsidP="61AA7794" w:rsidRDefault="61AA7794" w14:paraId="046BE544" w14:textId="05CCEFDB">
            <w:pPr>
              <w:spacing w:after="0"/>
            </w:pPr>
            <w:r w:rsidRPr="61AA7794">
              <w:rPr>
                <w:b/>
                <w:bCs/>
              </w:rPr>
              <w:t>Acquisition</w:t>
            </w:r>
          </w:p>
        </w:tc>
        <w:tc>
          <w:tcPr>
            <w:tcW w:w="10348" w:type="dxa"/>
            <w:vAlign w:val="center"/>
          </w:tcPr>
          <w:p w:rsidR="61AA7794" w:rsidP="61AA7794" w:rsidRDefault="61AA7794" w14:paraId="1DCA557A" w14:textId="2EE8089B">
            <w:pPr>
              <w:spacing w:after="0"/>
            </w:pPr>
            <w:r>
              <w:t>Inhalation of conidia/arthroconidia → primary lung focus → possible haematogenous spread.</w:t>
            </w:r>
          </w:p>
        </w:tc>
      </w:tr>
      <w:tr w:rsidR="61AA7794" w:rsidTr="00DE4B99" w14:paraId="4F736614" w14:textId="77777777">
        <w:trPr>
          <w:trHeight w:val="300"/>
        </w:trPr>
        <w:tc>
          <w:tcPr>
            <w:tcW w:w="5245" w:type="dxa"/>
            <w:vAlign w:val="center"/>
          </w:tcPr>
          <w:p w:rsidR="61AA7794" w:rsidP="61AA7794" w:rsidRDefault="61AA7794" w14:paraId="76A0423F" w14:textId="07B8EEDE">
            <w:pPr>
              <w:spacing w:after="0"/>
            </w:pPr>
            <w:r w:rsidRPr="61AA7794">
              <w:rPr>
                <w:b/>
                <w:bCs/>
              </w:rPr>
              <w:t>Determinants of disease</w:t>
            </w:r>
          </w:p>
        </w:tc>
        <w:tc>
          <w:tcPr>
            <w:tcW w:w="10348" w:type="dxa"/>
            <w:vAlign w:val="center"/>
          </w:tcPr>
          <w:p w:rsidR="61AA7794" w:rsidP="61AA7794" w:rsidRDefault="61AA7794" w14:paraId="0401FDA2" w14:textId="08CA6FE0">
            <w:pPr>
              <w:spacing w:after="0"/>
            </w:pPr>
            <w:r>
              <w:t>Inoculum size + host cell-mediated immunity (Th1, Th17).</w:t>
            </w:r>
          </w:p>
        </w:tc>
      </w:tr>
      <w:tr w:rsidR="61AA7794" w:rsidTr="00DE4B99" w14:paraId="13C5E105" w14:textId="77777777">
        <w:trPr>
          <w:trHeight w:val="300"/>
        </w:trPr>
        <w:tc>
          <w:tcPr>
            <w:tcW w:w="5245" w:type="dxa"/>
            <w:vAlign w:val="center"/>
          </w:tcPr>
          <w:p w:rsidR="61AA7794" w:rsidP="61AA7794" w:rsidRDefault="61AA7794" w14:paraId="24D1034B" w14:textId="3975763F">
            <w:pPr>
              <w:spacing w:after="0"/>
            </w:pPr>
            <w:r w:rsidRPr="61AA7794">
              <w:rPr>
                <w:b/>
                <w:bCs/>
              </w:rPr>
              <w:t>Lab safety</w:t>
            </w:r>
          </w:p>
        </w:tc>
        <w:tc>
          <w:tcPr>
            <w:tcW w:w="10348" w:type="dxa"/>
            <w:vAlign w:val="center"/>
          </w:tcPr>
          <w:p w:rsidR="61AA7794" w:rsidP="61AA7794" w:rsidRDefault="61AA7794" w14:paraId="3B9CDA56" w14:textId="5876A593">
            <w:pPr>
              <w:spacing w:after="0"/>
            </w:pPr>
            <w:r>
              <w:t xml:space="preserve">All cultures </w:t>
            </w:r>
            <w:r w:rsidRPr="61AA7794">
              <w:rPr>
                <w:b/>
                <w:bCs/>
              </w:rPr>
              <w:t>BSL-3; Class II BSC</w:t>
            </w:r>
            <w:r>
              <w:t xml:space="preserve">. </w:t>
            </w:r>
          </w:p>
        </w:tc>
      </w:tr>
      <w:tr w:rsidR="61AA7794" w:rsidTr="00DE4B99" w14:paraId="2BBA98EE" w14:textId="77777777">
        <w:trPr>
          <w:trHeight w:val="300"/>
        </w:trPr>
        <w:tc>
          <w:tcPr>
            <w:tcW w:w="5245" w:type="dxa"/>
            <w:vAlign w:val="center"/>
          </w:tcPr>
          <w:p w:rsidR="61AA7794" w:rsidP="61AA7794" w:rsidRDefault="61AA7794" w14:paraId="42E627D0" w14:textId="53F912C4">
            <w:pPr>
              <w:spacing w:after="0"/>
            </w:pPr>
            <w:r w:rsidRPr="61AA7794">
              <w:rPr>
                <w:b/>
                <w:bCs/>
              </w:rPr>
              <w:t>Standard therapy rule-of-thumb</w:t>
            </w:r>
          </w:p>
        </w:tc>
        <w:tc>
          <w:tcPr>
            <w:tcW w:w="10348" w:type="dxa"/>
            <w:vAlign w:val="center"/>
          </w:tcPr>
          <w:p w:rsidR="00B8752D" w:rsidP="61AA7794" w:rsidRDefault="61AA7794" w14:paraId="5DA611EC" w14:textId="77777777">
            <w:pPr>
              <w:spacing w:after="0"/>
            </w:pPr>
            <w:r>
              <w:t xml:space="preserve">Mild/moderate = </w:t>
            </w:r>
            <w:proofErr w:type="gramStart"/>
            <w:r>
              <w:t>itraconazole;</w:t>
            </w:r>
            <w:proofErr w:type="gramEnd"/>
            <w:r>
              <w:t xml:space="preserve"> </w:t>
            </w:r>
          </w:p>
          <w:p w:rsidR="61AA7794" w:rsidP="61AA7794" w:rsidRDefault="61AA7794" w14:paraId="78FCBB34" w14:textId="1302633F">
            <w:pPr>
              <w:spacing w:after="0"/>
            </w:pPr>
            <w:r>
              <w:t>severe/CNS/immunosuppressed = liposomal amphotericin B then azole step-down.</w:t>
            </w:r>
          </w:p>
        </w:tc>
      </w:tr>
    </w:tbl>
    <w:p w:rsidR="61AA7794" w:rsidRDefault="61AA7794" w14:paraId="4D18E565" w14:textId="5CAAD256"/>
    <w:p w:rsidR="19DAB5B8" w:rsidP="61AA7794" w:rsidRDefault="19DAB5B8" w14:paraId="74FF465E" w14:textId="41CA990D">
      <w:pPr>
        <w:pStyle w:val="Heading2"/>
        <w:spacing w:before="299" w:after="299"/>
      </w:pPr>
      <w:r w:rsidRPr="61AA7794">
        <w:rPr>
          <w:rFonts w:ascii="Aptos" w:hAnsi="Aptos" w:eastAsia="Aptos" w:cs="Aptos"/>
          <w:b/>
          <w:bCs/>
          <w:sz w:val="36"/>
          <w:szCs w:val="36"/>
        </w:rPr>
        <w:lastRenderedPageBreak/>
        <w:t>3 Epidemiology &amp; Incubation / Latency Points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3261"/>
        <w:gridCol w:w="6799"/>
        <w:gridCol w:w="4966"/>
      </w:tblGrid>
      <w:tr w:rsidRPr="00B8752D" w:rsidR="61AA7794" w:rsidTr="7305BF74" w14:paraId="513BB843" w14:textId="77777777">
        <w:trPr>
          <w:trHeight w:val="300"/>
        </w:trPr>
        <w:tc>
          <w:tcPr>
            <w:tcW w:w="3261" w:type="dxa"/>
            <w:tcMar/>
            <w:vAlign w:val="center"/>
          </w:tcPr>
          <w:p w:rsidRPr="00B8752D" w:rsidR="61AA7794" w:rsidP="61AA7794" w:rsidRDefault="61AA7794" w14:paraId="3DA4E2CB" w14:textId="7964AA80">
            <w:pPr>
              <w:spacing w:after="0"/>
              <w:jc w:val="center"/>
              <w:rPr>
                <w:sz w:val="22"/>
                <w:szCs w:val="22"/>
              </w:rPr>
            </w:pPr>
            <w:r w:rsidRPr="00B8752D">
              <w:rPr>
                <w:b/>
                <w:bCs/>
                <w:sz w:val="22"/>
                <w:szCs w:val="22"/>
              </w:rPr>
              <w:t>Fungus</w:t>
            </w:r>
          </w:p>
        </w:tc>
        <w:tc>
          <w:tcPr>
            <w:tcW w:w="6799" w:type="dxa"/>
            <w:tcMar/>
            <w:vAlign w:val="center"/>
          </w:tcPr>
          <w:p w:rsidRPr="00B8752D" w:rsidR="61AA7794" w:rsidP="61AA7794" w:rsidRDefault="61AA7794" w14:paraId="79437C39" w14:textId="1F0DE313">
            <w:pPr>
              <w:spacing w:after="0"/>
              <w:jc w:val="center"/>
              <w:rPr>
                <w:sz w:val="22"/>
                <w:szCs w:val="22"/>
              </w:rPr>
            </w:pPr>
            <w:r w:rsidRPr="00B8752D">
              <w:rPr>
                <w:b/>
                <w:bCs/>
                <w:sz w:val="22"/>
                <w:szCs w:val="22"/>
              </w:rPr>
              <w:t>Endemic zone &amp; ecological cue</w:t>
            </w:r>
          </w:p>
        </w:tc>
        <w:tc>
          <w:tcPr>
            <w:tcW w:w="4966" w:type="dxa"/>
            <w:tcMar/>
            <w:vAlign w:val="center"/>
          </w:tcPr>
          <w:p w:rsidRPr="00B8752D" w:rsidR="61AA7794" w:rsidP="61AA7794" w:rsidRDefault="61AA7794" w14:paraId="44F6026B" w14:textId="6F08238B">
            <w:pPr>
              <w:spacing w:after="0"/>
              <w:jc w:val="center"/>
              <w:rPr>
                <w:sz w:val="22"/>
                <w:szCs w:val="22"/>
              </w:rPr>
            </w:pPr>
            <w:r w:rsidRPr="00B8752D">
              <w:rPr>
                <w:b/>
                <w:bCs/>
                <w:sz w:val="22"/>
                <w:szCs w:val="22"/>
              </w:rPr>
              <w:t>Incubation / latency “exam numbers”</w:t>
            </w:r>
          </w:p>
        </w:tc>
      </w:tr>
      <w:tr w:rsidRPr="00B8752D" w:rsidR="61AA7794" w:rsidTr="7305BF74" w14:paraId="08909931" w14:textId="77777777">
        <w:trPr>
          <w:trHeight w:val="300"/>
        </w:trPr>
        <w:tc>
          <w:tcPr>
            <w:tcW w:w="3261" w:type="dxa"/>
            <w:tcMar/>
            <w:vAlign w:val="center"/>
          </w:tcPr>
          <w:p w:rsidRPr="00B8752D" w:rsidR="61AA7794" w:rsidP="61AA7794" w:rsidRDefault="61AA7794" w14:paraId="323C83CD" w14:textId="1400C58C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b/>
                <w:bCs/>
                <w:sz w:val="22"/>
                <w:szCs w:val="22"/>
              </w:rPr>
              <w:t>Histoplasma</w:t>
            </w:r>
          </w:p>
        </w:tc>
        <w:tc>
          <w:tcPr>
            <w:tcW w:w="6799" w:type="dxa"/>
            <w:tcMar/>
            <w:vAlign w:val="center"/>
          </w:tcPr>
          <w:p w:rsidRPr="00B8752D" w:rsidR="61AA7794" w:rsidP="61AA7794" w:rsidRDefault="61AA7794" w14:paraId="5CA4E444" w14:textId="2FC335D7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>Bat/bird-guano soil – Ohio/Mississippi, C./S. America</w:t>
            </w:r>
          </w:p>
        </w:tc>
        <w:tc>
          <w:tcPr>
            <w:tcW w:w="4966" w:type="dxa"/>
            <w:tcMar/>
            <w:vAlign w:val="center"/>
          </w:tcPr>
          <w:p w:rsidRPr="00B8752D" w:rsidR="61AA7794" w:rsidP="61AA7794" w:rsidRDefault="61AA7794" w14:paraId="2CA1C293" w14:textId="63CF0CD3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>3 – 17 days typical.</w:t>
            </w:r>
          </w:p>
        </w:tc>
      </w:tr>
      <w:tr w:rsidRPr="00B8752D" w:rsidR="61AA7794" w:rsidTr="7305BF74" w14:paraId="2F0BA4ED" w14:textId="77777777">
        <w:trPr>
          <w:trHeight w:val="300"/>
        </w:trPr>
        <w:tc>
          <w:tcPr>
            <w:tcW w:w="3261" w:type="dxa"/>
            <w:tcMar/>
            <w:vAlign w:val="center"/>
          </w:tcPr>
          <w:p w:rsidRPr="00B8752D" w:rsidR="61AA7794" w:rsidP="61AA7794" w:rsidRDefault="61AA7794" w14:paraId="70B1C5BA" w14:textId="149EC443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b/>
                <w:bCs/>
                <w:sz w:val="22"/>
                <w:szCs w:val="22"/>
              </w:rPr>
              <w:t>Blastomyces</w:t>
            </w:r>
          </w:p>
        </w:tc>
        <w:tc>
          <w:tcPr>
            <w:tcW w:w="6799" w:type="dxa"/>
            <w:tcMar/>
            <w:vAlign w:val="center"/>
          </w:tcPr>
          <w:p w:rsidRPr="00B8752D" w:rsidR="61AA7794" w:rsidP="61AA7794" w:rsidRDefault="61AA7794" w14:paraId="76A53AA7" w14:textId="22DBB686">
            <w:pPr>
              <w:spacing w:after="0"/>
              <w:rPr>
                <w:sz w:val="22"/>
                <w:szCs w:val="22"/>
              </w:rPr>
            </w:pPr>
            <w:r w:rsidRPr="7305BF74" w:rsidR="61AA7794">
              <w:rPr>
                <w:sz w:val="22"/>
                <w:szCs w:val="22"/>
              </w:rPr>
              <w:t>Moist soil/decaying wood near waterways – Mississippi &amp; Great Lakes</w:t>
            </w:r>
            <w:r w:rsidRPr="7305BF74" w:rsidR="21534B24">
              <w:rPr>
                <w:sz w:val="22"/>
                <w:szCs w:val="22"/>
              </w:rPr>
              <w:t>/Ontario</w:t>
            </w:r>
            <w:r w:rsidRPr="7305BF74" w:rsidR="61AA7794">
              <w:rPr>
                <w:sz w:val="22"/>
                <w:szCs w:val="22"/>
              </w:rPr>
              <w:t xml:space="preserve"> basin</w:t>
            </w:r>
          </w:p>
        </w:tc>
        <w:tc>
          <w:tcPr>
            <w:tcW w:w="4966" w:type="dxa"/>
            <w:tcMar/>
            <w:vAlign w:val="center"/>
          </w:tcPr>
          <w:p w:rsidRPr="00B8752D" w:rsidR="61AA7794" w:rsidP="61AA7794" w:rsidRDefault="61AA7794" w14:paraId="6DF9D195" w14:textId="04CD75D7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>3 – 6 weeks.</w:t>
            </w:r>
          </w:p>
        </w:tc>
      </w:tr>
      <w:tr w:rsidRPr="00B8752D" w:rsidR="61AA7794" w:rsidTr="7305BF74" w14:paraId="3323852A" w14:textId="77777777">
        <w:trPr>
          <w:trHeight w:val="300"/>
        </w:trPr>
        <w:tc>
          <w:tcPr>
            <w:tcW w:w="3261" w:type="dxa"/>
            <w:tcMar/>
            <w:vAlign w:val="center"/>
          </w:tcPr>
          <w:p w:rsidRPr="00B8752D" w:rsidR="61AA7794" w:rsidP="61AA7794" w:rsidRDefault="61AA7794" w14:paraId="6AE5D447" w14:textId="599DE6B9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b/>
                <w:bCs/>
                <w:sz w:val="22"/>
                <w:szCs w:val="22"/>
              </w:rPr>
              <w:t>Coccidioides</w:t>
            </w:r>
          </w:p>
        </w:tc>
        <w:tc>
          <w:tcPr>
            <w:tcW w:w="6799" w:type="dxa"/>
            <w:tcMar/>
            <w:vAlign w:val="center"/>
          </w:tcPr>
          <w:p w:rsidRPr="00B8752D" w:rsidR="61AA7794" w:rsidP="61AA7794" w:rsidRDefault="61AA7794" w14:paraId="600849C5" w14:textId="72F18F56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 xml:space="preserve">Desert SW USA; dust storms &amp; </w:t>
            </w:r>
            <w:r w:rsidRPr="00B8752D">
              <w:rPr>
                <w:b/>
                <w:bCs/>
                <w:sz w:val="22"/>
                <w:szCs w:val="22"/>
              </w:rPr>
              <w:t>earthquake outbreaks</w:t>
            </w:r>
          </w:p>
        </w:tc>
        <w:tc>
          <w:tcPr>
            <w:tcW w:w="4966" w:type="dxa"/>
            <w:tcMar/>
            <w:vAlign w:val="center"/>
          </w:tcPr>
          <w:p w:rsidRPr="00B8752D" w:rsidR="61AA7794" w:rsidP="61AA7794" w:rsidRDefault="61AA7794" w14:paraId="7E3FB779" w14:textId="113B3415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b/>
                <w:bCs/>
                <w:sz w:val="22"/>
                <w:szCs w:val="22"/>
              </w:rPr>
              <w:t>1 – 3 weeks</w:t>
            </w:r>
          </w:p>
        </w:tc>
      </w:tr>
      <w:tr w:rsidRPr="00B8752D" w:rsidR="61AA7794" w:rsidTr="7305BF74" w14:paraId="00CB6A3A" w14:textId="77777777">
        <w:trPr>
          <w:trHeight w:val="300"/>
        </w:trPr>
        <w:tc>
          <w:tcPr>
            <w:tcW w:w="3261" w:type="dxa"/>
            <w:tcMar/>
            <w:vAlign w:val="center"/>
          </w:tcPr>
          <w:p w:rsidRPr="00B8752D" w:rsidR="61AA7794" w:rsidP="61AA7794" w:rsidRDefault="61AA7794" w14:paraId="6A9A93E4" w14:textId="6BDB1CAD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b/>
                <w:bCs/>
                <w:sz w:val="22"/>
                <w:szCs w:val="22"/>
              </w:rPr>
              <w:t>Paracoccidioides</w:t>
            </w:r>
          </w:p>
        </w:tc>
        <w:tc>
          <w:tcPr>
            <w:tcW w:w="6799" w:type="dxa"/>
            <w:tcMar/>
            <w:vAlign w:val="center"/>
          </w:tcPr>
          <w:p w:rsidRPr="00B8752D" w:rsidR="61AA7794" w:rsidP="61AA7794" w:rsidRDefault="61AA7794" w14:paraId="096EA19B" w14:textId="66499049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>Rural Latin America; coffee &amp; tobacco farms</w:t>
            </w:r>
          </w:p>
        </w:tc>
        <w:tc>
          <w:tcPr>
            <w:tcW w:w="4966" w:type="dxa"/>
            <w:tcMar/>
            <w:vAlign w:val="center"/>
          </w:tcPr>
          <w:p w:rsidRPr="00B8752D" w:rsidR="61AA7794" w:rsidP="61AA7794" w:rsidRDefault="61AA7794" w14:paraId="672FE93A" w14:textId="0043409C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 xml:space="preserve">Often </w:t>
            </w:r>
            <w:r w:rsidRPr="00B8752D">
              <w:rPr>
                <w:b/>
                <w:bCs/>
                <w:sz w:val="22"/>
                <w:szCs w:val="22"/>
              </w:rPr>
              <w:t>decades-long latency</w:t>
            </w:r>
            <w:r w:rsidRPr="00B8752D">
              <w:rPr>
                <w:sz w:val="22"/>
                <w:szCs w:val="22"/>
              </w:rPr>
              <w:t xml:space="preserve"> – chronic adult form via reactivation. </w:t>
            </w:r>
          </w:p>
        </w:tc>
      </w:tr>
      <w:tr w:rsidRPr="00B8752D" w:rsidR="61AA7794" w:rsidTr="7305BF74" w14:paraId="16028C4C" w14:textId="77777777">
        <w:trPr>
          <w:trHeight w:val="300"/>
        </w:trPr>
        <w:tc>
          <w:tcPr>
            <w:tcW w:w="3261" w:type="dxa"/>
            <w:tcMar/>
            <w:vAlign w:val="center"/>
          </w:tcPr>
          <w:p w:rsidRPr="00B8752D" w:rsidR="61AA7794" w:rsidP="61AA7794" w:rsidRDefault="61AA7794" w14:paraId="7A7A401C" w14:textId="58C0F1E7">
            <w:pPr>
              <w:spacing w:after="0"/>
              <w:rPr>
                <w:sz w:val="22"/>
                <w:szCs w:val="22"/>
              </w:rPr>
            </w:pPr>
            <w:proofErr w:type="spellStart"/>
            <w:r w:rsidRPr="00B8752D">
              <w:rPr>
                <w:b/>
                <w:bCs/>
                <w:sz w:val="22"/>
                <w:szCs w:val="22"/>
              </w:rPr>
              <w:t>Talaromyces</w:t>
            </w:r>
            <w:proofErr w:type="spellEnd"/>
            <w:r w:rsidRPr="00B8752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8752D">
              <w:rPr>
                <w:b/>
                <w:bCs/>
                <w:sz w:val="22"/>
                <w:szCs w:val="22"/>
              </w:rPr>
              <w:t>marneffei</w:t>
            </w:r>
            <w:proofErr w:type="spellEnd"/>
          </w:p>
        </w:tc>
        <w:tc>
          <w:tcPr>
            <w:tcW w:w="6799" w:type="dxa"/>
            <w:tcMar/>
            <w:vAlign w:val="center"/>
          </w:tcPr>
          <w:p w:rsidRPr="00B8752D" w:rsidR="61AA7794" w:rsidP="61AA7794" w:rsidRDefault="61AA7794" w14:paraId="10CFA523" w14:textId="5DD70220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>SE Asia; bamboo-rat reservoir</w:t>
            </w:r>
          </w:p>
        </w:tc>
        <w:tc>
          <w:tcPr>
            <w:tcW w:w="4966" w:type="dxa"/>
            <w:tcMar/>
            <w:vAlign w:val="center"/>
          </w:tcPr>
          <w:p w:rsidRPr="00B8752D" w:rsidR="61AA7794" w:rsidP="61AA7794" w:rsidRDefault="61AA7794" w14:paraId="1D55E502" w14:textId="764CF476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 xml:space="preserve">Latency uncertain; </w:t>
            </w:r>
            <w:r w:rsidRPr="00B8752D">
              <w:rPr>
                <w:b/>
                <w:bCs/>
                <w:sz w:val="22"/>
                <w:szCs w:val="22"/>
              </w:rPr>
              <w:t>reactivation seen years after leaving endemic area</w:t>
            </w:r>
            <w:r w:rsidRPr="00B8752D">
              <w:rPr>
                <w:sz w:val="22"/>
                <w:szCs w:val="22"/>
              </w:rPr>
              <w:t xml:space="preserve">. </w:t>
            </w:r>
          </w:p>
        </w:tc>
      </w:tr>
      <w:tr w:rsidRPr="00B8752D" w:rsidR="61AA7794" w:rsidTr="7305BF74" w14:paraId="124D8709" w14:textId="77777777">
        <w:trPr>
          <w:trHeight w:val="300"/>
        </w:trPr>
        <w:tc>
          <w:tcPr>
            <w:tcW w:w="3261" w:type="dxa"/>
            <w:tcMar/>
            <w:vAlign w:val="center"/>
          </w:tcPr>
          <w:p w:rsidRPr="00B8752D" w:rsidR="61AA7794" w:rsidP="61AA7794" w:rsidRDefault="61AA7794" w14:paraId="1E06B6C8" w14:textId="1E2DDC9B">
            <w:pPr>
              <w:spacing w:after="0"/>
              <w:rPr>
                <w:sz w:val="22"/>
                <w:szCs w:val="22"/>
              </w:rPr>
            </w:pPr>
            <w:proofErr w:type="spellStart"/>
            <w:r w:rsidRPr="00B8752D">
              <w:rPr>
                <w:b/>
                <w:bCs/>
                <w:sz w:val="22"/>
                <w:szCs w:val="22"/>
              </w:rPr>
              <w:t>Emmonsia</w:t>
            </w:r>
            <w:proofErr w:type="spellEnd"/>
            <w:r w:rsidRPr="00B8752D">
              <w:rPr>
                <w:b/>
                <w:bCs/>
                <w:sz w:val="22"/>
                <w:szCs w:val="22"/>
              </w:rPr>
              <w:t xml:space="preserve"> spp.</w:t>
            </w:r>
          </w:p>
        </w:tc>
        <w:tc>
          <w:tcPr>
            <w:tcW w:w="6799" w:type="dxa"/>
            <w:tcMar/>
            <w:vAlign w:val="center"/>
          </w:tcPr>
          <w:p w:rsidRPr="00B8752D" w:rsidR="61AA7794" w:rsidP="61AA7794" w:rsidRDefault="61AA7794" w14:paraId="45AA5C7F" w14:textId="4749BAA5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>Southern Africa, China, N America; HIV &amp; transplant hosts</w:t>
            </w:r>
          </w:p>
        </w:tc>
        <w:tc>
          <w:tcPr>
            <w:tcW w:w="4966" w:type="dxa"/>
            <w:tcMar/>
            <w:vAlign w:val="center"/>
          </w:tcPr>
          <w:p w:rsidRPr="00B8752D" w:rsidR="61AA7794" w:rsidP="61AA7794" w:rsidRDefault="61AA7794" w14:paraId="27523457" w14:textId="5F7F74AF">
            <w:pPr>
              <w:spacing w:after="0"/>
              <w:rPr>
                <w:sz w:val="22"/>
                <w:szCs w:val="22"/>
              </w:rPr>
            </w:pPr>
            <w:r w:rsidRPr="00B8752D">
              <w:rPr>
                <w:sz w:val="22"/>
                <w:szCs w:val="22"/>
              </w:rPr>
              <w:t xml:space="preserve">Unknown; consider when “Histoplasma” Rx fails. </w:t>
            </w:r>
          </w:p>
        </w:tc>
      </w:tr>
    </w:tbl>
    <w:p w:rsidR="61AA7794" w:rsidRDefault="61AA7794" w14:paraId="29BA2F12" w14:textId="5C477C55"/>
    <w:p w:rsidR="19DAB5B8" w:rsidP="61AA7794" w:rsidRDefault="19DAB5B8" w14:paraId="1B9DB1C4" w14:textId="0689CCC1">
      <w:pPr>
        <w:pStyle w:val="Heading2"/>
        <w:spacing w:before="299" w:after="299"/>
      </w:pPr>
      <w:r w:rsidRPr="61AA7794">
        <w:rPr>
          <w:rFonts w:ascii="Aptos" w:hAnsi="Aptos" w:eastAsia="Aptos" w:cs="Aptos"/>
          <w:b/>
          <w:bCs/>
          <w:sz w:val="36"/>
          <w:szCs w:val="36"/>
        </w:rPr>
        <w:t>4 Pathogenesis &amp; Host Immunity Highlights</w:t>
      </w:r>
    </w:p>
    <w:p w:rsidR="19DAB5B8" w:rsidP="61AA7794" w:rsidRDefault="19DAB5B8" w14:paraId="70A58B11" w14:textId="293123C9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61AA7794">
        <w:rPr>
          <w:rFonts w:ascii="Aptos" w:hAnsi="Aptos" w:eastAsia="Aptos" w:cs="Aptos"/>
          <w:b/>
          <w:bCs/>
        </w:rPr>
        <w:t>Coccidioides:</w:t>
      </w:r>
      <w:r w:rsidRPr="61AA7794">
        <w:rPr>
          <w:rFonts w:ascii="Aptos" w:hAnsi="Aptos" w:eastAsia="Aptos" w:cs="Aptos"/>
        </w:rPr>
        <w:t xml:space="preserve"> spherule-outer-wall glycoprotein (</w:t>
      </w:r>
      <w:proofErr w:type="spellStart"/>
      <w:r w:rsidRPr="61AA7794">
        <w:rPr>
          <w:rFonts w:ascii="Aptos" w:hAnsi="Aptos" w:eastAsia="Aptos" w:cs="Aptos"/>
        </w:rPr>
        <w:t>SOWgp</w:t>
      </w:r>
      <w:proofErr w:type="spellEnd"/>
      <w:r w:rsidRPr="61AA7794">
        <w:rPr>
          <w:rFonts w:ascii="Aptos" w:hAnsi="Aptos" w:eastAsia="Aptos" w:cs="Aptos"/>
        </w:rPr>
        <w:t xml:space="preserve">), urease-generated ammonia, melanin, metalloproteinases blunt macrophage killing; mixed Th1/Th2/Th17 response. </w:t>
      </w:r>
    </w:p>
    <w:p w:rsidR="19DAB5B8" w:rsidP="61AA7794" w:rsidRDefault="19DAB5B8" w14:paraId="1EE120F5" w14:textId="0C6C1783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proofErr w:type="spellStart"/>
      <w:r w:rsidRPr="61AA7794">
        <w:rPr>
          <w:rFonts w:ascii="Aptos" w:hAnsi="Aptos" w:eastAsia="Aptos" w:cs="Aptos"/>
          <w:b/>
          <w:bCs/>
        </w:rPr>
        <w:t>Talaromyces</w:t>
      </w:r>
      <w:proofErr w:type="spellEnd"/>
      <w:r w:rsidRPr="61AA7794">
        <w:rPr>
          <w:rFonts w:ascii="Aptos" w:hAnsi="Aptos" w:eastAsia="Aptos" w:cs="Aptos"/>
          <w:b/>
          <w:bCs/>
        </w:rPr>
        <w:t xml:space="preserve"> </w:t>
      </w:r>
      <w:proofErr w:type="spellStart"/>
      <w:r w:rsidRPr="61AA7794">
        <w:rPr>
          <w:rFonts w:ascii="Aptos" w:hAnsi="Aptos" w:eastAsia="Aptos" w:cs="Aptos"/>
          <w:b/>
          <w:bCs/>
        </w:rPr>
        <w:t>marneffei</w:t>
      </w:r>
      <w:proofErr w:type="spellEnd"/>
      <w:r w:rsidRPr="61AA7794">
        <w:rPr>
          <w:rFonts w:ascii="Aptos" w:hAnsi="Aptos" w:eastAsia="Aptos" w:cs="Aptos"/>
          <w:b/>
          <w:bCs/>
        </w:rPr>
        <w:t>:</w:t>
      </w:r>
      <w:r w:rsidRPr="61AA7794">
        <w:rPr>
          <w:rFonts w:ascii="Aptos" w:hAnsi="Aptos" w:eastAsia="Aptos" w:cs="Aptos"/>
        </w:rPr>
        <w:t xml:space="preserve"> conidia bind fibronectin/laminin; intracellular yeast neutralises ROS; control requires CD4-driven Th1 cytokines → disease when CD4 &lt; 100. </w:t>
      </w:r>
    </w:p>
    <w:p w:rsidR="19DAB5B8" w:rsidP="61AA7794" w:rsidRDefault="19DAB5B8" w14:paraId="4CC71601" w14:textId="030B51DA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61AA7794">
        <w:rPr>
          <w:rFonts w:ascii="Aptos" w:hAnsi="Aptos" w:eastAsia="Aptos" w:cs="Aptos"/>
          <w:b/>
          <w:bCs/>
        </w:rPr>
        <w:t>General rule:</w:t>
      </w:r>
      <w:r w:rsidRPr="61AA7794">
        <w:rPr>
          <w:rFonts w:ascii="Aptos" w:hAnsi="Aptos" w:eastAsia="Aptos" w:cs="Aptos"/>
        </w:rPr>
        <w:t xml:space="preserve"> Th1/Th17 = protection; Th2 skew or CD4 deficit = dissemination.</w:t>
      </w:r>
    </w:p>
    <w:p w:rsidR="61AA7794" w:rsidRDefault="61AA7794" w14:paraId="33757285" w14:textId="737CA086"/>
    <w:p w:rsidR="19DAB5B8" w:rsidP="61AA7794" w:rsidRDefault="19DAB5B8" w14:paraId="4791C0F6" w14:textId="5018F04E">
      <w:pPr>
        <w:pStyle w:val="Heading2"/>
        <w:spacing w:before="299" w:after="299"/>
      </w:pPr>
      <w:r w:rsidRPr="61AA7794">
        <w:rPr>
          <w:rFonts w:ascii="Aptos" w:hAnsi="Aptos" w:eastAsia="Aptos" w:cs="Aptos"/>
          <w:b/>
          <w:bCs/>
          <w:sz w:val="36"/>
          <w:szCs w:val="36"/>
        </w:rPr>
        <w:t>5 Diagnosis – From Bench to Bedside in One Slide</w:t>
      </w:r>
    </w:p>
    <w:tbl>
      <w:tblPr>
        <w:tblW w:w="154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2835"/>
        <w:gridCol w:w="7230"/>
        <w:gridCol w:w="5386"/>
      </w:tblGrid>
      <w:tr w:rsidR="61AA7794" w:rsidTr="7305BF74" w14:paraId="0FA52F99" w14:textId="77777777">
        <w:trPr>
          <w:trHeight w:val="300"/>
        </w:trPr>
        <w:tc>
          <w:tcPr>
            <w:tcW w:w="2835" w:type="dxa"/>
            <w:tcMar/>
            <w:vAlign w:val="center"/>
          </w:tcPr>
          <w:p w:rsidR="61AA7794" w:rsidP="61AA7794" w:rsidRDefault="61AA7794" w14:paraId="0A9BA2F7" w14:textId="078ADC00">
            <w:pPr>
              <w:spacing w:after="0"/>
              <w:jc w:val="center"/>
            </w:pPr>
            <w:r w:rsidRPr="61AA7794">
              <w:rPr>
                <w:b/>
                <w:bCs/>
              </w:rPr>
              <w:t>Fungus</w:t>
            </w:r>
          </w:p>
        </w:tc>
        <w:tc>
          <w:tcPr>
            <w:tcW w:w="7230" w:type="dxa"/>
            <w:tcMar/>
            <w:vAlign w:val="center"/>
          </w:tcPr>
          <w:p w:rsidR="61AA7794" w:rsidP="61AA7794" w:rsidRDefault="61AA7794" w14:paraId="3C5E37C7" w14:textId="71F6BF46">
            <w:pPr>
              <w:spacing w:after="0"/>
              <w:jc w:val="center"/>
            </w:pPr>
            <w:r w:rsidRPr="61AA7794">
              <w:rPr>
                <w:b/>
                <w:bCs/>
              </w:rPr>
              <w:t>Rapid / specialty test to quote</w:t>
            </w:r>
          </w:p>
        </w:tc>
        <w:tc>
          <w:tcPr>
            <w:tcW w:w="5386" w:type="dxa"/>
            <w:tcMar/>
            <w:vAlign w:val="center"/>
          </w:tcPr>
          <w:p w:rsidR="61AA7794" w:rsidP="61AA7794" w:rsidRDefault="61AA7794" w14:paraId="374FFD41" w14:textId="46EE277B">
            <w:pPr>
              <w:spacing w:after="0"/>
              <w:jc w:val="center"/>
            </w:pPr>
            <w:r w:rsidRPr="61AA7794">
              <w:rPr>
                <w:b/>
                <w:bCs/>
              </w:rPr>
              <w:t>Classic microscopy clue</w:t>
            </w:r>
          </w:p>
        </w:tc>
      </w:tr>
      <w:tr w:rsidR="61AA7794" w:rsidTr="7305BF74" w14:paraId="464E7034" w14:textId="77777777">
        <w:trPr>
          <w:trHeight w:val="300"/>
        </w:trPr>
        <w:tc>
          <w:tcPr>
            <w:tcW w:w="2835" w:type="dxa"/>
            <w:tcMar/>
            <w:vAlign w:val="center"/>
          </w:tcPr>
          <w:p w:rsidR="61AA7794" w:rsidP="61AA7794" w:rsidRDefault="61AA7794" w14:paraId="2EF0A10C" w14:textId="294A8FD8">
            <w:pPr>
              <w:spacing w:after="0"/>
            </w:pPr>
            <w:r w:rsidRPr="61AA7794">
              <w:rPr>
                <w:b/>
                <w:bCs/>
              </w:rPr>
              <w:t>Histoplasma</w:t>
            </w:r>
          </w:p>
        </w:tc>
        <w:tc>
          <w:tcPr>
            <w:tcW w:w="7230" w:type="dxa"/>
            <w:tcMar/>
            <w:vAlign w:val="center"/>
          </w:tcPr>
          <w:p w:rsidRPr="00C40D50" w:rsidR="61AA7794" w:rsidP="61AA7794" w:rsidRDefault="61AA7794" w14:paraId="745F0D2D" w14:textId="7471A344">
            <w:pPr>
              <w:spacing w:after="0"/>
            </w:pPr>
            <w:r w:rsidRPr="00C40D50">
              <w:t>Urine/serum galactomannan EIA</w:t>
            </w:r>
          </w:p>
        </w:tc>
        <w:tc>
          <w:tcPr>
            <w:tcW w:w="5386" w:type="dxa"/>
            <w:tcMar/>
            <w:vAlign w:val="center"/>
          </w:tcPr>
          <w:p w:rsidR="61AA7794" w:rsidP="61AA7794" w:rsidRDefault="61AA7794" w14:paraId="6317317E" w14:textId="40B247F0">
            <w:pPr>
              <w:spacing w:after="0"/>
            </w:pPr>
            <w:r>
              <w:t>Yeast 2-4 µm in macrophages; mould tuberculate macroconidia.</w:t>
            </w:r>
          </w:p>
        </w:tc>
      </w:tr>
      <w:tr w:rsidR="61AA7794" w:rsidTr="7305BF74" w14:paraId="30981CF3" w14:textId="77777777">
        <w:trPr>
          <w:trHeight w:val="300"/>
        </w:trPr>
        <w:tc>
          <w:tcPr>
            <w:tcW w:w="2835" w:type="dxa"/>
            <w:tcMar/>
            <w:vAlign w:val="center"/>
          </w:tcPr>
          <w:p w:rsidR="61AA7794" w:rsidP="61AA7794" w:rsidRDefault="61AA7794" w14:paraId="5EDEFABF" w14:textId="5996863C">
            <w:pPr>
              <w:spacing w:after="0"/>
            </w:pPr>
            <w:r w:rsidRPr="61AA7794">
              <w:rPr>
                <w:b/>
                <w:bCs/>
              </w:rPr>
              <w:t>Blastomyces</w:t>
            </w:r>
          </w:p>
        </w:tc>
        <w:tc>
          <w:tcPr>
            <w:tcW w:w="7230" w:type="dxa"/>
            <w:tcMar/>
            <w:vAlign w:val="center"/>
          </w:tcPr>
          <w:p w:rsidR="61AA7794" w:rsidP="61AA7794" w:rsidRDefault="61AA7794" w14:paraId="0A676504" w14:textId="2E469655">
            <w:pPr>
              <w:spacing w:after="0"/>
            </w:pPr>
            <w:r>
              <w:t>Same galactomannan EIA; emerging real-time PCR</w:t>
            </w:r>
          </w:p>
        </w:tc>
        <w:tc>
          <w:tcPr>
            <w:tcW w:w="5386" w:type="dxa"/>
            <w:tcMar/>
            <w:vAlign w:val="center"/>
          </w:tcPr>
          <w:p w:rsidR="61AA7794" w:rsidP="61AA7794" w:rsidRDefault="61AA7794" w14:paraId="1B2599D1" w14:textId="50FA96CB">
            <w:pPr>
              <w:spacing w:after="0"/>
            </w:pPr>
            <w:r w:rsidRPr="61AA7794">
              <w:rPr>
                <w:b/>
                <w:bCs/>
              </w:rPr>
              <w:t>Broad-based budding yeast</w:t>
            </w:r>
            <w:r>
              <w:t xml:space="preserve"> (8-10 µm). </w:t>
            </w:r>
          </w:p>
        </w:tc>
      </w:tr>
      <w:tr w:rsidR="61AA7794" w:rsidTr="7305BF74" w14:paraId="6980FA3E" w14:textId="77777777">
        <w:trPr>
          <w:trHeight w:val="300"/>
        </w:trPr>
        <w:tc>
          <w:tcPr>
            <w:tcW w:w="2835" w:type="dxa"/>
            <w:tcMar/>
            <w:vAlign w:val="center"/>
          </w:tcPr>
          <w:p w:rsidR="61AA7794" w:rsidP="61AA7794" w:rsidRDefault="61AA7794" w14:paraId="1F7EFDA9" w14:textId="7CA77E75">
            <w:pPr>
              <w:spacing w:after="0"/>
            </w:pPr>
            <w:r w:rsidRPr="61AA7794">
              <w:rPr>
                <w:b/>
                <w:bCs/>
              </w:rPr>
              <w:lastRenderedPageBreak/>
              <w:t>Coccidioides</w:t>
            </w:r>
          </w:p>
        </w:tc>
        <w:tc>
          <w:tcPr>
            <w:tcW w:w="7230" w:type="dxa"/>
            <w:tcMar/>
            <w:vAlign w:val="center"/>
          </w:tcPr>
          <w:p w:rsidR="61AA7794" w:rsidP="61AA7794" w:rsidRDefault="61AA7794" w14:paraId="3F963E32" w14:textId="33415DB0">
            <w:pPr>
              <w:spacing w:after="0"/>
            </w:pPr>
            <w:r>
              <w:t xml:space="preserve">Complement-fixation &amp; immunodiffusion antibody panels </w:t>
            </w:r>
            <w:r w:rsidRPr="61AA7794">
              <w:rPr>
                <w:b/>
                <w:bCs/>
              </w:rPr>
              <w:t>± antigen EIA</w:t>
            </w:r>
            <w:r>
              <w:t>; PCR developing</w:t>
            </w:r>
          </w:p>
        </w:tc>
        <w:tc>
          <w:tcPr>
            <w:tcW w:w="5386" w:type="dxa"/>
            <w:tcMar/>
            <w:vAlign w:val="center"/>
          </w:tcPr>
          <w:p w:rsidR="61AA7794" w:rsidP="61AA7794" w:rsidRDefault="61AA7794" w14:paraId="359D97CA" w14:textId="1F3949EB">
            <w:pPr>
              <w:spacing w:after="0"/>
            </w:pPr>
            <w:r w:rsidRPr="7305BF74" w:rsidR="61AA7794">
              <w:rPr>
                <w:b w:val="1"/>
                <w:bCs w:val="1"/>
              </w:rPr>
              <w:t>Spherules (≤ 120 µm) packed with endospores</w:t>
            </w:r>
            <w:r w:rsidR="61AA7794">
              <w:rPr/>
              <w:t>.</w:t>
            </w:r>
          </w:p>
          <w:p w:rsidR="61AA7794" w:rsidP="7305BF74" w:rsidRDefault="61AA7794" w14:paraId="3DFACF8F" w14:textId="4CB751DE">
            <w:pPr>
              <w:spacing w:after="0"/>
              <w:jc w:val="center"/>
            </w:pPr>
            <w:r w:rsidR="059DC9D9">
              <w:drawing>
                <wp:inline wp14:editId="6A012BE1" wp14:anchorId="4A89E949">
                  <wp:extent cx="2647950" cy="1733550"/>
                  <wp:effectExtent l="0" t="0" r="0" b="0"/>
                  <wp:docPr id="92138608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921386085" name=""/>
                          <pic:cNvPicPr/>
                        </pic:nvPicPr>
                        <pic:blipFill>
                          <a:blip xmlns:r="http://schemas.openxmlformats.org/officeDocument/2006/relationships" r:embed="rId95440382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1AA7794">
              <w:rPr/>
              <w:t xml:space="preserve"> </w:t>
            </w:r>
          </w:p>
        </w:tc>
      </w:tr>
      <w:tr w:rsidR="61AA7794" w:rsidTr="7305BF74" w14:paraId="0CE7A9AC" w14:textId="77777777">
        <w:trPr>
          <w:trHeight w:val="300"/>
        </w:trPr>
        <w:tc>
          <w:tcPr>
            <w:tcW w:w="2835" w:type="dxa"/>
            <w:tcMar/>
            <w:vAlign w:val="center"/>
          </w:tcPr>
          <w:p w:rsidR="61AA7794" w:rsidP="61AA7794" w:rsidRDefault="61AA7794" w14:paraId="05B8EF4A" w14:textId="0DEDA4DF">
            <w:pPr>
              <w:spacing w:after="0"/>
            </w:pPr>
            <w:r w:rsidRPr="61AA7794">
              <w:rPr>
                <w:b/>
                <w:bCs/>
              </w:rPr>
              <w:t>Paracoccidioides</w:t>
            </w:r>
          </w:p>
        </w:tc>
        <w:tc>
          <w:tcPr>
            <w:tcW w:w="7230" w:type="dxa"/>
            <w:tcMar/>
            <w:vAlign w:val="center"/>
          </w:tcPr>
          <w:p w:rsidR="61AA7794" w:rsidP="61AA7794" w:rsidRDefault="61AA7794" w14:paraId="3CE7AF23" w14:textId="0E9A0A88">
            <w:pPr>
              <w:spacing w:after="0"/>
            </w:pPr>
            <w:r>
              <w:t>Serology (gp43 antigen) + microscopy</w:t>
            </w:r>
          </w:p>
        </w:tc>
        <w:tc>
          <w:tcPr>
            <w:tcW w:w="5386" w:type="dxa"/>
            <w:tcMar/>
            <w:vAlign w:val="center"/>
          </w:tcPr>
          <w:p w:rsidR="61AA7794" w:rsidP="61AA7794" w:rsidRDefault="61AA7794" w14:noSpellErr="1" w14:paraId="4058CCA8" w14:textId="73DF7596">
            <w:pPr>
              <w:spacing w:after="0"/>
            </w:pPr>
            <w:r w:rsidRPr="7305BF74" w:rsidR="61AA7794">
              <w:rPr>
                <w:b w:val="1"/>
                <w:bCs w:val="1"/>
              </w:rPr>
              <w:t>“Pilot’s-wheel” multiple-budding yeast</w:t>
            </w:r>
            <w:r w:rsidR="61AA7794">
              <w:rPr/>
              <w:t>.</w:t>
            </w:r>
          </w:p>
          <w:p w:rsidR="61AA7794" w:rsidP="7305BF74" w:rsidRDefault="61AA7794" w14:paraId="1F3E87C0" w14:textId="3BE79E45">
            <w:pPr>
              <w:spacing w:after="0"/>
              <w:jc w:val="center"/>
            </w:pPr>
            <w:r w:rsidR="0774D2A4">
              <w:drawing>
                <wp:inline wp14:editId="6B72B8D2" wp14:anchorId="467ADDF1">
                  <wp:extent cx="1971675" cy="2314575"/>
                  <wp:effectExtent l="0" t="0" r="0" b="0"/>
                  <wp:docPr id="11700169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7001695" name=""/>
                          <pic:cNvPicPr/>
                        </pic:nvPicPr>
                        <pic:blipFill>
                          <a:blip xmlns:r="http://schemas.openxmlformats.org/officeDocument/2006/relationships" r:embed="rId26527193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AA7794" w:rsidTr="7305BF74" w14:paraId="62E1F30F" w14:textId="77777777">
        <w:trPr>
          <w:trHeight w:val="300"/>
        </w:trPr>
        <w:tc>
          <w:tcPr>
            <w:tcW w:w="2835" w:type="dxa"/>
            <w:tcMar/>
            <w:vAlign w:val="center"/>
          </w:tcPr>
          <w:p w:rsidR="61AA7794" w:rsidP="61AA7794" w:rsidRDefault="61AA7794" w14:paraId="460E366C" w14:textId="13E1E803">
            <w:pPr>
              <w:spacing w:after="0"/>
            </w:pPr>
            <w:proofErr w:type="spellStart"/>
            <w:r w:rsidRPr="61AA7794">
              <w:rPr>
                <w:b/>
                <w:bCs/>
              </w:rPr>
              <w:t>Talaromyces</w:t>
            </w:r>
            <w:proofErr w:type="spellEnd"/>
            <w:r w:rsidRPr="61AA7794">
              <w:rPr>
                <w:b/>
                <w:bCs/>
              </w:rPr>
              <w:t xml:space="preserve"> </w:t>
            </w:r>
            <w:proofErr w:type="spellStart"/>
            <w:r w:rsidRPr="61AA7794">
              <w:rPr>
                <w:b/>
                <w:bCs/>
              </w:rPr>
              <w:t>marneffei</w:t>
            </w:r>
            <w:proofErr w:type="spellEnd"/>
          </w:p>
        </w:tc>
        <w:tc>
          <w:tcPr>
            <w:tcW w:w="7230" w:type="dxa"/>
            <w:tcMar/>
            <w:vAlign w:val="center"/>
          </w:tcPr>
          <w:p w:rsidR="61AA7794" w:rsidP="61AA7794" w:rsidRDefault="61AA7794" w14:paraId="5262B714" w14:textId="06BDF17F">
            <w:pPr>
              <w:spacing w:after="0"/>
            </w:pPr>
            <w:r>
              <w:t>Whole-blood PCR; β-D-glucan positive; MALDI-TOF (yeast phase)</w:t>
            </w:r>
          </w:p>
        </w:tc>
        <w:tc>
          <w:tcPr>
            <w:tcW w:w="5386" w:type="dxa"/>
            <w:tcMar/>
            <w:vAlign w:val="center"/>
          </w:tcPr>
          <w:p w:rsidR="61AA7794" w:rsidP="61AA7794" w:rsidRDefault="61AA7794" w14:paraId="6A0728ED" w14:textId="63B79865">
            <w:pPr>
              <w:spacing w:after="0"/>
            </w:pPr>
            <w:r>
              <w:t xml:space="preserve">Yeast with </w:t>
            </w:r>
            <w:r w:rsidRPr="61AA7794">
              <w:rPr>
                <w:b/>
                <w:bCs/>
              </w:rPr>
              <w:t>central transverse septum</w:t>
            </w:r>
            <w:r>
              <w:t xml:space="preserve">; red pigment on </w:t>
            </w:r>
            <w:proofErr w:type="spellStart"/>
            <w:r>
              <w:t>Sabouraud</w:t>
            </w:r>
            <w:proofErr w:type="spellEnd"/>
            <w:r>
              <w:t>.</w:t>
            </w:r>
          </w:p>
        </w:tc>
      </w:tr>
      <w:tr w:rsidR="61AA7794" w:rsidTr="7305BF74" w14:paraId="0353CDDB" w14:textId="77777777">
        <w:trPr>
          <w:trHeight w:val="300"/>
        </w:trPr>
        <w:tc>
          <w:tcPr>
            <w:tcW w:w="2835" w:type="dxa"/>
            <w:tcMar/>
            <w:vAlign w:val="center"/>
          </w:tcPr>
          <w:p w:rsidR="61AA7794" w:rsidP="61AA7794" w:rsidRDefault="61AA7794" w14:paraId="141AD096" w14:textId="090785D5">
            <w:pPr>
              <w:spacing w:after="0"/>
            </w:pPr>
            <w:proofErr w:type="spellStart"/>
            <w:r w:rsidRPr="61AA7794">
              <w:rPr>
                <w:b/>
                <w:bCs/>
              </w:rPr>
              <w:t>Emmonsia</w:t>
            </w:r>
            <w:proofErr w:type="spellEnd"/>
            <w:r w:rsidRPr="61AA7794">
              <w:rPr>
                <w:b/>
                <w:bCs/>
              </w:rPr>
              <w:t xml:space="preserve"> complex</w:t>
            </w:r>
          </w:p>
        </w:tc>
        <w:tc>
          <w:tcPr>
            <w:tcW w:w="7230" w:type="dxa"/>
            <w:tcMar/>
            <w:vAlign w:val="center"/>
          </w:tcPr>
          <w:p w:rsidR="61AA7794" w:rsidP="61AA7794" w:rsidRDefault="61AA7794" w14:paraId="13369798" w14:textId="68FE0774">
            <w:pPr>
              <w:spacing w:after="0"/>
            </w:pPr>
            <w:r>
              <w:t xml:space="preserve">Definitive ID requires </w:t>
            </w:r>
            <w:r w:rsidRPr="61AA7794">
              <w:rPr>
                <w:b/>
                <w:bCs/>
              </w:rPr>
              <w:t>sequencing (ITS, LSU, β-tubulin)</w:t>
            </w:r>
            <w:r>
              <w:t xml:space="preserve">. </w:t>
            </w:r>
          </w:p>
        </w:tc>
        <w:tc>
          <w:tcPr>
            <w:tcW w:w="5386" w:type="dxa"/>
            <w:tcMar/>
            <w:vAlign w:val="center"/>
          </w:tcPr>
          <w:p w:rsidR="61AA7794" w:rsidP="61AA7794" w:rsidRDefault="61AA7794" w14:paraId="7CDB53E5" w14:textId="125900BB">
            <w:pPr>
              <w:spacing w:after="0"/>
            </w:pPr>
            <w:r>
              <w:t>Histology mimics Histoplasma/Blastomyces.</w:t>
            </w:r>
          </w:p>
        </w:tc>
      </w:tr>
    </w:tbl>
    <w:p w:rsidR="19DAB5B8" w:rsidP="61AA7794" w:rsidRDefault="19DAB5B8" w14:paraId="4E9F0EBE" w14:textId="36725BD1">
      <w:pPr>
        <w:spacing w:before="240" w:after="240"/>
      </w:pPr>
      <w:r w:rsidRPr="61AA7794">
        <w:rPr>
          <w:rFonts w:ascii="Aptos" w:hAnsi="Aptos" w:eastAsia="Aptos" w:cs="Aptos"/>
          <w:b/>
          <w:bCs/>
        </w:rPr>
        <w:t>Safety reminder:</w:t>
      </w:r>
      <w:r w:rsidRPr="61AA7794">
        <w:rPr>
          <w:rFonts w:ascii="Aptos" w:hAnsi="Aptos" w:eastAsia="Aptos" w:cs="Aptos"/>
        </w:rPr>
        <w:t xml:space="preserve"> open plates only within BSC; subculture sealed. </w:t>
      </w:r>
    </w:p>
    <w:p w:rsidR="61AA7794" w:rsidRDefault="61AA7794" w14:paraId="5728AF9F" w14:textId="7D282638"/>
    <w:p w:rsidR="19DAB5B8" w:rsidP="61AA7794" w:rsidRDefault="19DAB5B8" w14:paraId="6844B802" w14:textId="4E208E31">
      <w:pPr>
        <w:pStyle w:val="Heading2"/>
        <w:spacing w:before="299" w:after="299"/>
      </w:pPr>
      <w:r w:rsidRPr="7305BF74" w:rsidR="19DAB5B8">
        <w:rPr>
          <w:rFonts w:ascii="Aptos" w:hAnsi="Aptos" w:eastAsia="Aptos" w:cs="Aptos"/>
          <w:b w:val="1"/>
          <w:bCs w:val="1"/>
          <w:sz w:val="36"/>
          <w:szCs w:val="36"/>
        </w:rPr>
        <w:t>6 Organism-Specific Clinical Spectrum</w:t>
      </w:r>
    </w:p>
    <w:tbl>
      <w:tblPr>
        <w:tblW w:w="154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3119"/>
        <w:gridCol w:w="7513"/>
        <w:gridCol w:w="4819"/>
      </w:tblGrid>
      <w:tr w:rsidR="61AA7794" w:rsidTr="7305BF74" w14:paraId="6C0CA2F6" w14:textId="77777777">
        <w:trPr>
          <w:trHeight w:val="300"/>
        </w:trPr>
        <w:tc>
          <w:tcPr>
            <w:tcW w:w="3119" w:type="dxa"/>
            <w:tcMar/>
            <w:vAlign w:val="center"/>
          </w:tcPr>
          <w:p w:rsidR="61AA7794" w:rsidP="61AA7794" w:rsidRDefault="61AA7794" w14:paraId="392C14C0" w14:textId="3ED8AF35">
            <w:pPr>
              <w:spacing w:after="0"/>
              <w:jc w:val="center"/>
            </w:pPr>
            <w:r w:rsidRPr="61AA7794">
              <w:rPr>
                <w:b/>
                <w:bCs/>
              </w:rPr>
              <w:t>Organism</w:t>
            </w:r>
          </w:p>
        </w:tc>
        <w:tc>
          <w:tcPr>
            <w:tcW w:w="7513" w:type="dxa"/>
            <w:tcMar/>
            <w:vAlign w:val="center"/>
          </w:tcPr>
          <w:p w:rsidR="61AA7794" w:rsidP="61AA7794" w:rsidRDefault="61AA7794" w14:paraId="6AE98459" w14:textId="05A275CB">
            <w:pPr>
              <w:spacing w:after="0"/>
              <w:jc w:val="center"/>
            </w:pPr>
            <w:r w:rsidRPr="61AA7794">
              <w:rPr>
                <w:b/>
                <w:bCs/>
              </w:rPr>
              <w:t>Clinical patterns</w:t>
            </w:r>
          </w:p>
        </w:tc>
        <w:tc>
          <w:tcPr>
            <w:tcW w:w="4819" w:type="dxa"/>
            <w:tcMar/>
            <w:vAlign w:val="center"/>
          </w:tcPr>
          <w:p w:rsidR="61AA7794" w:rsidP="61AA7794" w:rsidRDefault="61AA7794" w14:paraId="2616F790" w14:textId="0E4D4A17">
            <w:pPr>
              <w:spacing w:after="0"/>
              <w:jc w:val="center"/>
            </w:pPr>
            <w:r w:rsidRPr="61AA7794">
              <w:rPr>
                <w:b/>
                <w:bCs/>
              </w:rPr>
              <w:t>Examiner “extras”</w:t>
            </w:r>
          </w:p>
        </w:tc>
      </w:tr>
      <w:tr w:rsidR="61AA7794" w:rsidTr="7305BF74" w14:paraId="4610D010" w14:textId="77777777">
        <w:trPr>
          <w:trHeight w:val="300"/>
        </w:trPr>
        <w:tc>
          <w:tcPr>
            <w:tcW w:w="3119" w:type="dxa"/>
            <w:tcMar/>
            <w:vAlign w:val="center"/>
          </w:tcPr>
          <w:p w:rsidR="61AA7794" w:rsidP="61AA7794" w:rsidRDefault="61AA7794" w14:paraId="5F68F797" w14:textId="07C43ADD">
            <w:pPr>
              <w:spacing w:after="0"/>
            </w:pPr>
            <w:proofErr w:type="spellStart"/>
            <w:r w:rsidRPr="61AA7794">
              <w:rPr>
                <w:b/>
                <w:bCs/>
              </w:rPr>
              <w:t>Paracoccidioidomycosis</w:t>
            </w:r>
            <w:proofErr w:type="spellEnd"/>
          </w:p>
        </w:tc>
        <w:tc>
          <w:tcPr>
            <w:tcW w:w="7513" w:type="dxa"/>
            <w:tcMar/>
            <w:vAlign w:val="center"/>
          </w:tcPr>
          <w:p w:rsidR="61AA7794" w:rsidP="7305BF74" w:rsidRDefault="61AA7794" w14:paraId="28A71633" w14:textId="1750C279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79" w:lineRule="auto"/>
              <w:ind w:left="270" w:right="0" w:hanging="270"/>
              <w:jc w:val="left"/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</w:pP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Juvenile</w:t>
            </w:r>
            <w:r w:rsidRPr="7305BF74" w:rsidR="5F3B7E4E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 xml:space="preserve">: 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reticulo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-endothelial</w:t>
            </w:r>
          </w:p>
          <w:p w:rsidR="61AA7794" w:rsidP="7305BF74" w:rsidRDefault="61AA7794" w14:paraId="162B3A99" w14:textId="5AEF2774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79" w:lineRule="auto"/>
              <w:ind w:left="270" w:right="0" w:hanging="270"/>
              <w:jc w:val="left"/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</w:pP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chronic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-adult (90 %)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 xml:space="preserve"> – lungs, mucocutaneous ulcers, ad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renal i</w:t>
            </w:r>
            <w:r w:rsidR="61AA7794">
              <w:rPr/>
              <w:t>nsufficiency.</w:t>
            </w:r>
          </w:p>
        </w:tc>
        <w:tc>
          <w:tcPr>
            <w:tcW w:w="4819" w:type="dxa"/>
            <w:tcMar/>
            <w:vAlign w:val="center"/>
          </w:tcPr>
          <w:p w:rsidR="61AA7794" w:rsidP="61AA7794" w:rsidRDefault="61AA7794" w14:paraId="07F09F11" w14:textId="7F23A5E9">
            <w:pPr>
              <w:spacing w:after="0"/>
            </w:pPr>
            <w:proofErr w:type="gramStart"/>
            <w:r>
              <w:t>Male :</w:t>
            </w:r>
            <w:proofErr w:type="gramEnd"/>
            <w:r>
              <w:t xml:space="preserve"> female </w:t>
            </w:r>
            <w:proofErr w:type="gramStart"/>
            <w:r>
              <w:t>13 :</w:t>
            </w:r>
            <w:proofErr w:type="gramEnd"/>
            <w:r>
              <w:t xml:space="preserve"> 1; β-oestradiol blocks switch.</w:t>
            </w:r>
          </w:p>
        </w:tc>
      </w:tr>
      <w:tr w:rsidR="61AA7794" w:rsidTr="7305BF74" w14:paraId="1C362E9A" w14:textId="77777777">
        <w:trPr>
          <w:trHeight w:val="300"/>
        </w:trPr>
        <w:tc>
          <w:tcPr>
            <w:tcW w:w="3119" w:type="dxa"/>
            <w:tcMar/>
            <w:vAlign w:val="center"/>
          </w:tcPr>
          <w:p w:rsidR="61AA7794" w:rsidP="61AA7794" w:rsidRDefault="61AA7794" w14:paraId="53A33917" w14:textId="60B3C248">
            <w:pPr>
              <w:spacing w:after="0"/>
            </w:pPr>
            <w:r w:rsidRPr="61AA7794">
              <w:rPr>
                <w:b/>
                <w:bCs/>
              </w:rPr>
              <w:t>Histoplasmosis</w:t>
            </w:r>
          </w:p>
        </w:tc>
        <w:tc>
          <w:tcPr>
            <w:tcW w:w="7513" w:type="dxa"/>
            <w:tcMar/>
            <w:vAlign w:val="center"/>
          </w:tcPr>
          <w:p w:rsidR="61AA7794" w:rsidP="7305BF74" w:rsidRDefault="61AA7794" w14:paraId="41F311EF" w14:textId="3295AE7E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79" w:lineRule="auto"/>
              <w:ind w:left="270" w:right="0" w:hanging="270"/>
              <w:jc w:val="left"/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</w:pP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 xml:space="preserve">Acute self-limited pneumonia; </w:t>
            </w:r>
          </w:p>
          <w:p w:rsidR="61AA7794" w:rsidP="7305BF74" w:rsidRDefault="61AA7794" w14:paraId="75F73025" w14:textId="468B94CE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79" w:lineRule="auto"/>
              <w:ind w:left="270" w:right="0" w:hanging="270"/>
              <w:jc w:val="left"/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</w:pP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 xml:space="preserve">chronic cavitary (COPD); </w:t>
            </w:r>
          </w:p>
          <w:p w:rsidR="61AA7794" w:rsidP="7305BF74" w:rsidRDefault="61AA7794" w14:paraId="7B4842D2" w14:textId="55830643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79" w:lineRule="auto"/>
              <w:ind w:left="270" w:right="0" w:hanging="270"/>
              <w:jc w:val="left"/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</w:pP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dis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seminated</w:t>
            </w:r>
            <w:r w:rsidR="61AA7794">
              <w:rPr/>
              <w:t xml:space="preserve"> in HIV &amp; anti-TNF users.</w:t>
            </w:r>
          </w:p>
        </w:tc>
        <w:tc>
          <w:tcPr>
            <w:tcW w:w="4819" w:type="dxa"/>
            <w:tcMar/>
            <w:vAlign w:val="center"/>
          </w:tcPr>
          <w:p w:rsidR="61AA7794" w:rsidP="61AA7794" w:rsidRDefault="61AA7794" w14:paraId="66FDE116" w14:textId="37F25E97">
            <w:pPr>
              <w:spacing w:after="0"/>
            </w:pPr>
            <w:r>
              <w:t>Healed focus can calcify like TB.</w:t>
            </w:r>
          </w:p>
        </w:tc>
      </w:tr>
      <w:tr w:rsidR="61AA7794" w:rsidTr="7305BF74" w14:paraId="60DD5567" w14:textId="77777777">
        <w:trPr>
          <w:trHeight w:val="300"/>
        </w:trPr>
        <w:tc>
          <w:tcPr>
            <w:tcW w:w="3119" w:type="dxa"/>
            <w:tcMar/>
            <w:vAlign w:val="center"/>
          </w:tcPr>
          <w:p w:rsidR="61AA7794" w:rsidP="61AA7794" w:rsidRDefault="61AA7794" w14:paraId="49440C71" w14:textId="6EFBCE72">
            <w:pPr>
              <w:spacing w:after="0"/>
            </w:pPr>
            <w:r w:rsidRPr="61AA7794">
              <w:rPr>
                <w:b/>
                <w:bCs/>
              </w:rPr>
              <w:t>Blastomycosis</w:t>
            </w:r>
          </w:p>
        </w:tc>
        <w:tc>
          <w:tcPr>
            <w:tcW w:w="7513" w:type="dxa"/>
            <w:tcMar/>
            <w:vAlign w:val="center"/>
          </w:tcPr>
          <w:p w:rsidR="61AA7794" w:rsidP="7305BF74" w:rsidRDefault="61AA7794" w14:paraId="63BF54C6" w14:textId="663402CC">
            <w:pPr>
              <w:pStyle w:val="ListParagraph"/>
              <w:numPr>
                <w:ilvl w:val="0"/>
                <w:numId w:val="5"/>
              </w:numPr>
              <w:spacing w:after="0"/>
              <w:ind w:left="270" w:hanging="270"/>
              <w:rPr>
                <w:b w:val="1"/>
                <w:bCs w:val="1"/>
              </w:rPr>
            </w:pP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Pulm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onary</w:t>
            </w:r>
            <w:r w:rsidR="61AA7794">
              <w:rPr/>
              <w:t xml:space="preserve"> mass/cavity can </w:t>
            </w:r>
            <w:r w:rsidRPr="7305BF74" w:rsidR="61AA7794">
              <w:rPr>
                <w:b w:val="1"/>
                <w:bCs w:val="1"/>
              </w:rPr>
              <w:t xml:space="preserve">mimic lung </w:t>
            </w:r>
            <w:r w:rsidRPr="7305BF74" w:rsidR="61AA7794">
              <w:rPr>
                <w:b w:val="1"/>
                <w:bCs w:val="1"/>
              </w:rPr>
              <w:t>cancer</w:t>
            </w:r>
            <w:r w:rsidR="61AA7794">
              <w:rPr/>
              <w:t>;</w:t>
            </w:r>
            <w:r w:rsidR="61AA7794">
              <w:rPr/>
              <w:t xml:space="preserve"> </w:t>
            </w:r>
          </w:p>
          <w:p w:rsidR="61AA7794" w:rsidP="7305BF74" w:rsidRDefault="61AA7794" w14:paraId="2A97F75D" w14:textId="261B318E">
            <w:pPr>
              <w:pStyle w:val="ListParagraph"/>
              <w:numPr>
                <w:ilvl w:val="0"/>
                <w:numId w:val="5"/>
              </w:numPr>
              <w:spacing w:after="0"/>
              <w:ind w:left="270" w:hanging="270"/>
              <w:rPr>
                <w:sz w:val="24"/>
                <w:szCs w:val="24"/>
              </w:rPr>
            </w:pPr>
            <w:r w:rsidRPr="7305BF74" w:rsidR="620D4C8D">
              <w:rPr>
                <w:b w:val="1"/>
                <w:bCs w:val="1"/>
              </w:rPr>
              <w:t>V</w:t>
            </w:r>
            <w:r w:rsidRPr="7305BF74" w:rsidR="61AA7794">
              <w:rPr>
                <w:b w:val="1"/>
                <w:bCs w:val="1"/>
              </w:rPr>
              <w:t>errucous or ulcerated skin lesions</w:t>
            </w:r>
            <w:r w:rsidR="61AA7794">
              <w:rPr/>
              <w:t xml:space="preserve"> most common dissemination. </w:t>
            </w:r>
          </w:p>
        </w:tc>
        <w:tc>
          <w:tcPr>
            <w:tcW w:w="4819" w:type="dxa"/>
            <w:tcMar/>
            <w:vAlign w:val="center"/>
          </w:tcPr>
          <w:p w:rsidR="61AA7794" w:rsidRDefault="61AA7794" w14:paraId="5798F93D" w14:textId="3EBA79A9"/>
        </w:tc>
      </w:tr>
      <w:tr w:rsidR="61AA7794" w:rsidTr="7305BF74" w14:paraId="2169ADBB" w14:textId="77777777">
        <w:trPr>
          <w:trHeight w:val="300"/>
        </w:trPr>
        <w:tc>
          <w:tcPr>
            <w:tcW w:w="3119" w:type="dxa"/>
            <w:tcMar/>
            <w:vAlign w:val="center"/>
          </w:tcPr>
          <w:p w:rsidR="61AA7794" w:rsidP="61AA7794" w:rsidRDefault="61AA7794" w14:paraId="76BE95B1" w14:textId="18B89DF8">
            <w:pPr>
              <w:spacing w:after="0"/>
            </w:pPr>
            <w:r w:rsidRPr="61AA7794">
              <w:rPr>
                <w:b/>
                <w:bCs/>
              </w:rPr>
              <w:t>Coccidioidomycosis</w:t>
            </w:r>
          </w:p>
        </w:tc>
        <w:tc>
          <w:tcPr>
            <w:tcW w:w="7513" w:type="dxa"/>
            <w:tcMar/>
            <w:vAlign w:val="center"/>
          </w:tcPr>
          <w:p w:rsidR="61AA7794" w:rsidP="7305BF74" w:rsidRDefault="61AA7794" w14:paraId="57141665" w14:textId="38EE7251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270" w:right="0" w:hanging="270"/>
              <w:jc w:val="left"/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</w:pP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“Valley feve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r” ± erythema nodosum</w:t>
            </w:r>
          </w:p>
          <w:p w:rsidR="61AA7794" w:rsidP="7305BF74" w:rsidRDefault="61AA7794" w14:paraId="3F2FA612" w14:textId="47C52822">
            <w:pPr>
              <w:pStyle w:val="ListParagraph"/>
              <w:numPr>
                <w:ilvl w:val="0"/>
                <w:numId w:val="8"/>
              </w:numPr>
              <w:spacing w:after="0"/>
              <w:ind w:left="360" w:hanging="360"/>
              <w:rPr>
                <w:sz w:val="24"/>
                <w:szCs w:val="24"/>
              </w:rPr>
            </w:pP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meningitis if immunosuppressed, pregnancy, Af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r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ica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n/F</w:t>
            </w:r>
            <w:r w:rsidRPr="7305BF74" w:rsidR="61AA7794">
              <w:rPr>
                <w:rFonts w:ascii="Aptos" w:hAnsi="Aptos" w:eastAsia="" w:cs="" w:asciiTheme="minorAscii" w:hAnsiTheme="minorAscii" w:eastAsiaTheme="minorEastAsia" w:cstheme="minorBidi"/>
                <w:b w:val="1"/>
                <w:bCs w:val="1"/>
                <w:color w:val="auto"/>
                <w:sz w:val="24"/>
                <w:szCs w:val="24"/>
                <w:lang w:eastAsia="ja-JP" w:bidi="ar-SA"/>
              </w:rPr>
              <w:t>ilipino a</w:t>
            </w:r>
            <w:r w:rsidR="61AA7794">
              <w:rPr/>
              <w:t>ncestry.</w:t>
            </w:r>
          </w:p>
        </w:tc>
        <w:tc>
          <w:tcPr>
            <w:tcW w:w="4819" w:type="dxa"/>
            <w:tcMar/>
            <w:vAlign w:val="center"/>
          </w:tcPr>
          <w:p w:rsidR="61AA7794" w:rsidP="61AA7794" w:rsidRDefault="61AA7794" w14:paraId="1FC992E8" w14:textId="4776FEE5">
            <w:pPr>
              <w:spacing w:after="0"/>
            </w:pPr>
            <w:r>
              <w:t>Earthquake/dust outbreak questions.</w:t>
            </w:r>
          </w:p>
        </w:tc>
      </w:tr>
      <w:tr w:rsidR="61AA7794" w:rsidTr="7305BF74" w14:paraId="15546AAA" w14:textId="77777777">
        <w:trPr>
          <w:trHeight w:val="300"/>
        </w:trPr>
        <w:tc>
          <w:tcPr>
            <w:tcW w:w="3119" w:type="dxa"/>
            <w:tcMar/>
            <w:vAlign w:val="center"/>
          </w:tcPr>
          <w:p w:rsidR="61AA7794" w:rsidP="61AA7794" w:rsidRDefault="61AA7794" w14:paraId="70122095" w14:textId="44AB62FC">
            <w:pPr>
              <w:spacing w:after="0"/>
            </w:pPr>
            <w:proofErr w:type="spellStart"/>
            <w:r w:rsidRPr="61AA7794">
              <w:rPr>
                <w:b/>
                <w:bCs/>
              </w:rPr>
              <w:t>Talaromycosis</w:t>
            </w:r>
            <w:proofErr w:type="spellEnd"/>
          </w:p>
        </w:tc>
        <w:tc>
          <w:tcPr>
            <w:tcW w:w="7513" w:type="dxa"/>
            <w:tcMar/>
            <w:vAlign w:val="center"/>
          </w:tcPr>
          <w:p w:rsidR="61AA7794" w:rsidP="61AA7794" w:rsidRDefault="61AA7794" w14:paraId="7325D39D" w14:textId="638DBB59">
            <w:pPr>
              <w:spacing w:after="0"/>
            </w:pPr>
            <w:r>
              <w:t xml:space="preserve">Fever, </w:t>
            </w:r>
            <w:proofErr w:type="spellStart"/>
            <w:r>
              <w:t>cytopenias</w:t>
            </w:r>
            <w:proofErr w:type="spellEnd"/>
            <w:r>
              <w:t>, molluscum-like papules, hepato-splenomegaly; rapid multi-organ failure in AIDS.</w:t>
            </w:r>
          </w:p>
        </w:tc>
        <w:tc>
          <w:tcPr>
            <w:tcW w:w="4819" w:type="dxa"/>
            <w:tcMar/>
            <w:vAlign w:val="center"/>
          </w:tcPr>
          <w:p w:rsidR="61AA7794" w:rsidP="61AA7794" w:rsidRDefault="61AA7794" w14:paraId="43F24E23" w14:textId="760A6F4E">
            <w:pPr>
              <w:spacing w:after="0"/>
            </w:pPr>
            <w:r>
              <w:t>Always treat if CD4 &lt; 100.</w:t>
            </w:r>
          </w:p>
        </w:tc>
      </w:tr>
      <w:tr w:rsidR="61AA7794" w:rsidTr="7305BF74" w14:paraId="721E888C" w14:textId="77777777">
        <w:trPr>
          <w:trHeight w:val="300"/>
        </w:trPr>
        <w:tc>
          <w:tcPr>
            <w:tcW w:w="3119" w:type="dxa"/>
            <w:tcMar/>
            <w:vAlign w:val="center"/>
          </w:tcPr>
          <w:p w:rsidR="61AA7794" w:rsidP="61AA7794" w:rsidRDefault="61AA7794" w14:paraId="4969AD55" w14:textId="09364AF9">
            <w:pPr>
              <w:spacing w:after="0"/>
            </w:pPr>
            <w:proofErr w:type="spellStart"/>
            <w:r w:rsidRPr="61AA7794">
              <w:rPr>
                <w:b/>
                <w:bCs/>
              </w:rPr>
              <w:t>Emmonsiosis</w:t>
            </w:r>
            <w:proofErr w:type="spellEnd"/>
          </w:p>
        </w:tc>
        <w:tc>
          <w:tcPr>
            <w:tcW w:w="7513" w:type="dxa"/>
            <w:tcMar/>
            <w:vAlign w:val="center"/>
          </w:tcPr>
          <w:p w:rsidR="61AA7794" w:rsidP="61AA7794" w:rsidRDefault="61AA7794" w14:paraId="76209AA1" w14:textId="65308224">
            <w:pPr>
              <w:spacing w:after="0"/>
            </w:pPr>
            <w:r>
              <w:t xml:space="preserve">Disseminated febrile illness with skin plaques &amp; </w:t>
            </w:r>
            <w:r w:rsidRPr="61AA7794">
              <w:rPr>
                <w:b/>
                <w:bCs/>
              </w:rPr>
              <w:t>neurological disease</w:t>
            </w:r>
            <w:r>
              <w:t xml:space="preserve">; very high mortality if amphotericin delayed. </w:t>
            </w:r>
          </w:p>
        </w:tc>
        <w:tc>
          <w:tcPr>
            <w:tcW w:w="4819" w:type="dxa"/>
            <w:tcMar/>
            <w:vAlign w:val="center"/>
          </w:tcPr>
          <w:p w:rsidR="61AA7794" w:rsidP="61AA7794" w:rsidRDefault="61AA7794" w14:paraId="25B3C7E4" w14:textId="7A2FD877">
            <w:pPr>
              <w:spacing w:after="0"/>
            </w:pPr>
            <w:r>
              <w:t>Think when “Histoplasma” therapy failing.</w:t>
            </w:r>
          </w:p>
        </w:tc>
      </w:tr>
    </w:tbl>
    <w:p w:rsidR="61AA7794" w:rsidRDefault="61AA7794" w14:paraId="2817A30F" w14:textId="48769C35"/>
    <w:p w:rsidR="19DAB5B8" w:rsidP="61AA7794" w:rsidRDefault="19DAB5B8" w14:paraId="47C2E83F" w14:textId="5921CC59">
      <w:pPr>
        <w:pStyle w:val="Heading2"/>
        <w:spacing w:before="299" w:after="299"/>
      </w:pPr>
      <w:r w:rsidRPr="61AA7794">
        <w:rPr>
          <w:rFonts w:ascii="Aptos" w:hAnsi="Aptos" w:eastAsia="Aptos" w:cs="Aptos"/>
          <w:b/>
          <w:bCs/>
          <w:sz w:val="36"/>
          <w:szCs w:val="36"/>
        </w:rPr>
        <w:lastRenderedPageBreak/>
        <w:t>7 Treatment Algorithms (quote durations!)</w:t>
      </w:r>
    </w:p>
    <w:tbl>
      <w:tblPr>
        <w:tblW w:w="15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3828"/>
        <w:gridCol w:w="6804"/>
        <w:gridCol w:w="5103"/>
      </w:tblGrid>
      <w:tr w:rsidRPr="00FB3CED" w:rsidR="61AA7794" w:rsidTr="00FB3CED" w14:paraId="6A60DD25" w14:textId="77777777">
        <w:trPr>
          <w:trHeight w:val="300"/>
        </w:trPr>
        <w:tc>
          <w:tcPr>
            <w:tcW w:w="3828" w:type="dxa"/>
            <w:vAlign w:val="center"/>
          </w:tcPr>
          <w:p w:rsidRPr="00FB3CED" w:rsidR="61AA7794" w:rsidP="61AA7794" w:rsidRDefault="61AA7794" w14:paraId="73DCBE6E" w14:textId="0E128874">
            <w:pPr>
              <w:spacing w:after="0"/>
              <w:jc w:val="center"/>
              <w:rPr>
                <w:sz w:val="22"/>
                <w:szCs w:val="22"/>
              </w:rPr>
            </w:pPr>
            <w:r w:rsidRPr="00FB3CED">
              <w:rPr>
                <w:b/>
                <w:bCs/>
                <w:sz w:val="22"/>
                <w:szCs w:val="22"/>
              </w:rPr>
              <w:t>Setting</w:t>
            </w:r>
          </w:p>
        </w:tc>
        <w:tc>
          <w:tcPr>
            <w:tcW w:w="6804" w:type="dxa"/>
            <w:vAlign w:val="center"/>
          </w:tcPr>
          <w:p w:rsidRPr="00FB3CED" w:rsidR="61AA7794" w:rsidP="61AA7794" w:rsidRDefault="61AA7794" w14:paraId="5014D97E" w14:textId="51BFB70B">
            <w:pPr>
              <w:spacing w:after="0"/>
              <w:jc w:val="center"/>
              <w:rPr>
                <w:sz w:val="22"/>
                <w:szCs w:val="22"/>
              </w:rPr>
            </w:pPr>
            <w:r w:rsidRPr="00FB3CED">
              <w:rPr>
                <w:b/>
                <w:bCs/>
                <w:sz w:val="22"/>
                <w:szCs w:val="22"/>
              </w:rPr>
              <w:t>First-line</w:t>
            </w:r>
          </w:p>
        </w:tc>
        <w:tc>
          <w:tcPr>
            <w:tcW w:w="5103" w:type="dxa"/>
            <w:vAlign w:val="center"/>
          </w:tcPr>
          <w:p w:rsidRPr="00FB3CED" w:rsidR="61AA7794" w:rsidP="61AA7794" w:rsidRDefault="61AA7794" w14:paraId="4EA67420" w14:textId="0044A0C4">
            <w:pPr>
              <w:spacing w:after="0"/>
              <w:jc w:val="center"/>
              <w:rPr>
                <w:sz w:val="22"/>
                <w:szCs w:val="22"/>
              </w:rPr>
            </w:pPr>
            <w:r w:rsidRPr="00FB3CED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Pr="00FB3CED" w:rsidR="61AA7794" w:rsidTr="00FB3CED" w14:paraId="0FAA3E7A" w14:textId="77777777">
        <w:trPr>
          <w:trHeight w:val="300"/>
        </w:trPr>
        <w:tc>
          <w:tcPr>
            <w:tcW w:w="3828" w:type="dxa"/>
            <w:vAlign w:val="center"/>
          </w:tcPr>
          <w:p w:rsidRPr="00FB3CED" w:rsidR="61AA7794" w:rsidP="61AA7794" w:rsidRDefault="61AA7794" w14:paraId="3F7517EE" w14:textId="697BD497">
            <w:pPr>
              <w:spacing w:after="0"/>
              <w:rPr>
                <w:sz w:val="22"/>
                <w:szCs w:val="22"/>
              </w:rPr>
            </w:pPr>
            <w:r w:rsidRPr="00FB3CED">
              <w:rPr>
                <w:sz w:val="22"/>
                <w:szCs w:val="22"/>
              </w:rPr>
              <w:t>Mild-moderate endemic mycosis</w:t>
            </w:r>
          </w:p>
        </w:tc>
        <w:tc>
          <w:tcPr>
            <w:tcW w:w="6804" w:type="dxa"/>
            <w:vAlign w:val="center"/>
          </w:tcPr>
          <w:p w:rsidRPr="00FB3CED" w:rsidR="61AA7794" w:rsidP="61AA7794" w:rsidRDefault="61AA7794" w14:paraId="7040A985" w14:textId="4DCCD4C0">
            <w:pPr>
              <w:spacing w:after="0"/>
              <w:rPr>
                <w:sz w:val="22"/>
                <w:szCs w:val="22"/>
              </w:rPr>
            </w:pPr>
            <w:r w:rsidRPr="00FB3CED">
              <w:rPr>
                <w:b/>
                <w:bCs/>
                <w:sz w:val="22"/>
                <w:szCs w:val="22"/>
              </w:rPr>
              <w:t>Itraconazole</w:t>
            </w:r>
            <w:r w:rsidRPr="00FB3CED">
              <w:rPr>
                <w:sz w:val="22"/>
                <w:szCs w:val="22"/>
              </w:rPr>
              <w:t xml:space="preserve"> 200 mg bd (6–12 </w:t>
            </w:r>
            <w:proofErr w:type="gramStart"/>
            <w:r w:rsidRPr="00FB3CED">
              <w:rPr>
                <w:sz w:val="22"/>
                <w:szCs w:val="22"/>
              </w:rPr>
              <w:t>m)*</w:t>
            </w:r>
            <w:proofErr w:type="gramEnd"/>
          </w:p>
        </w:tc>
        <w:tc>
          <w:tcPr>
            <w:tcW w:w="5103" w:type="dxa"/>
            <w:vAlign w:val="center"/>
          </w:tcPr>
          <w:p w:rsidRPr="00FB3CED" w:rsidR="61AA7794" w:rsidP="61AA7794" w:rsidRDefault="61AA7794" w14:paraId="32C965B9" w14:textId="4BF35022">
            <w:pPr>
              <w:spacing w:after="0"/>
              <w:rPr>
                <w:sz w:val="22"/>
                <w:szCs w:val="22"/>
              </w:rPr>
            </w:pPr>
            <w:r w:rsidRPr="00FB3CED">
              <w:rPr>
                <w:sz w:val="22"/>
                <w:szCs w:val="22"/>
              </w:rPr>
              <w:t xml:space="preserve">*Blastomycosis often 6 – 12 m; </w:t>
            </w:r>
            <w:proofErr w:type="spellStart"/>
            <w:r w:rsidRPr="00FB3CED">
              <w:rPr>
                <w:sz w:val="22"/>
                <w:szCs w:val="22"/>
              </w:rPr>
              <w:t>Paracoccidioidomycosis</w:t>
            </w:r>
            <w:proofErr w:type="spellEnd"/>
            <w:r w:rsidRPr="00FB3CED">
              <w:rPr>
                <w:sz w:val="22"/>
                <w:szCs w:val="22"/>
              </w:rPr>
              <w:t xml:space="preserve"> ≥ 9 m.</w:t>
            </w:r>
          </w:p>
        </w:tc>
      </w:tr>
      <w:tr w:rsidRPr="00FB3CED" w:rsidR="61AA7794" w:rsidTr="00FB3CED" w14:paraId="757B5021" w14:textId="77777777">
        <w:trPr>
          <w:trHeight w:val="300"/>
        </w:trPr>
        <w:tc>
          <w:tcPr>
            <w:tcW w:w="3828" w:type="dxa"/>
            <w:vAlign w:val="center"/>
          </w:tcPr>
          <w:p w:rsidRPr="00FB3CED" w:rsidR="61AA7794" w:rsidP="61AA7794" w:rsidRDefault="61AA7794" w14:paraId="5A75CE0B" w14:textId="70BADC00">
            <w:pPr>
              <w:spacing w:after="0"/>
              <w:rPr>
                <w:sz w:val="22"/>
                <w:szCs w:val="22"/>
              </w:rPr>
            </w:pPr>
            <w:r w:rsidRPr="00FB3CED">
              <w:rPr>
                <w:sz w:val="22"/>
                <w:szCs w:val="22"/>
              </w:rPr>
              <w:t>Severe/disseminated or CNS</w:t>
            </w:r>
          </w:p>
        </w:tc>
        <w:tc>
          <w:tcPr>
            <w:tcW w:w="6804" w:type="dxa"/>
            <w:vAlign w:val="center"/>
          </w:tcPr>
          <w:p w:rsidRPr="00FB3CED" w:rsidR="61AA7794" w:rsidP="61AA7794" w:rsidRDefault="61AA7794" w14:paraId="29E96785" w14:textId="1CDA51CC">
            <w:pPr>
              <w:spacing w:after="0"/>
              <w:rPr>
                <w:sz w:val="22"/>
                <w:szCs w:val="22"/>
              </w:rPr>
            </w:pPr>
            <w:r w:rsidRPr="00FB3CED">
              <w:rPr>
                <w:b/>
                <w:bCs/>
                <w:sz w:val="22"/>
                <w:szCs w:val="22"/>
              </w:rPr>
              <w:t>Liposomal amphotericin B</w:t>
            </w:r>
            <w:r w:rsidRPr="00FB3CED">
              <w:rPr>
                <w:sz w:val="22"/>
                <w:szCs w:val="22"/>
              </w:rPr>
              <w:t xml:space="preserve"> (3–6 mg/kg/d) → oral itraconazole / fluconazole</w:t>
            </w:r>
          </w:p>
        </w:tc>
        <w:tc>
          <w:tcPr>
            <w:tcW w:w="5103" w:type="dxa"/>
            <w:vAlign w:val="center"/>
          </w:tcPr>
          <w:p w:rsidRPr="00FB3CED" w:rsidR="61AA7794" w:rsidP="61AA7794" w:rsidRDefault="61AA7794" w14:paraId="3A679828" w14:textId="4139D681">
            <w:pPr>
              <w:spacing w:after="0"/>
              <w:rPr>
                <w:sz w:val="22"/>
                <w:szCs w:val="22"/>
              </w:rPr>
            </w:pPr>
            <w:r w:rsidRPr="00FB3CED">
              <w:rPr>
                <w:sz w:val="22"/>
                <w:szCs w:val="22"/>
              </w:rPr>
              <w:t>Duration guided by clinical/radiological response.</w:t>
            </w:r>
          </w:p>
        </w:tc>
      </w:tr>
      <w:tr w:rsidRPr="00FB3CED" w:rsidR="61AA7794" w:rsidTr="00FB3CED" w14:paraId="547AA55D" w14:textId="77777777">
        <w:trPr>
          <w:trHeight w:val="300"/>
        </w:trPr>
        <w:tc>
          <w:tcPr>
            <w:tcW w:w="3828" w:type="dxa"/>
            <w:vAlign w:val="center"/>
          </w:tcPr>
          <w:p w:rsidRPr="00FB3CED" w:rsidR="61AA7794" w:rsidP="61AA7794" w:rsidRDefault="61AA7794" w14:paraId="311C3342" w14:textId="3CF264A2">
            <w:pPr>
              <w:spacing w:after="0"/>
              <w:rPr>
                <w:sz w:val="22"/>
                <w:szCs w:val="22"/>
              </w:rPr>
            </w:pPr>
            <w:proofErr w:type="spellStart"/>
            <w:r w:rsidRPr="00FB3CED">
              <w:rPr>
                <w:b/>
                <w:bCs/>
                <w:sz w:val="22"/>
                <w:szCs w:val="22"/>
              </w:rPr>
              <w:t>Talaromyces</w:t>
            </w:r>
            <w:proofErr w:type="spellEnd"/>
            <w:r w:rsidRPr="00FB3CE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3CED">
              <w:rPr>
                <w:b/>
                <w:bCs/>
                <w:sz w:val="22"/>
                <w:szCs w:val="22"/>
              </w:rPr>
              <w:t>marneffei</w:t>
            </w:r>
            <w:proofErr w:type="spellEnd"/>
            <w:r w:rsidRPr="00FB3CED">
              <w:rPr>
                <w:b/>
                <w:bCs/>
                <w:sz w:val="22"/>
                <w:szCs w:val="22"/>
              </w:rPr>
              <w:t xml:space="preserve"> in HIV</w:t>
            </w:r>
          </w:p>
        </w:tc>
        <w:tc>
          <w:tcPr>
            <w:tcW w:w="6804" w:type="dxa"/>
            <w:vAlign w:val="center"/>
          </w:tcPr>
          <w:p w:rsidRPr="00FB3CED" w:rsidR="61AA7794" w:rsidP="61AA7794" w:rsidRDefault="61AA7794" w14:paraId="26CF2DAC" w14:textId="6C0F545D">
            <w:pPr>
              <w:spacing w:after="0"/>
              <w:rPr>
                <w:sz w:val="22"/>
                <w:szCs w:val="22"/>
              </w:rPr>
            </w:pPr>
            <w:r w:rsidRPr="00FB3CED">
              <w:rPr>
                <w:sz w:val="22"/>
                <w:szCs w:val="22"/>
              </w:rPr>
              <w:t>L-</w:t>
            </w:r>
            <w:proofErr w:type="spellStart"/>
            <w:r w:rsidRPr="00FB3CED">
              <w:rPr>
                <w:sz w:val="22"/>
                <w:szCs w:val="22"/>
              </w:rPr>
              <w:t>AmB</w:t>
            </w:r>
            <w:proofErr w:type="spellEnd"/>
            <w:r w:rsidRPr="00FB3CED">
              <w:rPr>
                <w:sz w:val="22"/>
                <w:szCs w:val="22"/>
              </w:rPr>
              <w:t xml:space="preserve"> 2 </w:t>
            </w:r>
            <w:proofErr w:type="spellStart"/>
            <w:r w:rsidRPr="00FB3CED">
              <w:rPr>
                <w:sz w:val="22"/>
                <w:szCs w:val="22"/>
              </w:rPr>
              <w:t>wk</w:t>
            </w:r>
            <w:proofErr w:type="spellEnd"/>
            <w:r w:rsidRPr="00FB3CED">
              <w:rPr>
                <w:sz w:val="22"/>
                <w:szCs w:val="22"/>
              </w:rPr>
              <w:t xml:space="preserve"> → itraconazole 10 </w:t>
            </w:r>
            <w:proofErr w:type="spellStart"/>
            <w:r w:rsidRPr="00FB3CED">
              <w:rPr>
                <w:sz w:val="22"/>
                <w:szCs w:val="22"/>
              </w:rPr>
              <w:t>wk</w:t>
            </w:r>
            <w:proofErr w:type="spellEnd"/>
            <w:r w:rsidRPr="00FB3CED">
              <w:rPr>
                <w:sz w:val="22"/>
                <w:szCs w:val="22"/>
              </w:rPr>
              <w:t xml:space="preserve"> </w:t>
            </w:r>
            <w:r w:rsidRPr="00FB3CED">
              <w:rPr>
                <w:b/>
                <w:bCs/>
                <w:sz w:val="22"/>
                <w:szCs w:val="22"/>
              </w:rPr>
              <w:t>+ secondary prophylaxis until CD4 &gt; 100</w:t>
            </w:r>
            <w:r w:rsidRPr="00FB3CED">
              <w:rPr>
                <w:sz w:val="22"/>
                <w:szCs w:val="22"/>
              </w:rPr>
              <w:t xml:space="preserve">. </w:t>
            </w:r>
          </w:p>
        </w:tc>
        <w:tc>
          <w:tcPr>
            <w:tcW w:w="5103" w:type="dxa"/>
            <w:vAlign w:val="center"/>
          </w:tcPr>
          <w:p w:rsidRPr="00FB3CED" w:rsidR="61AA7794" w:rsidRDefault="61AA7794" w14:paraId="7DF1B27E" w14:textId="04FFC145">
            <w:pPr>
              <w:rPr>
                <w:sz w:val="22"/>
                <w:szCs w:val="22"/>
              </w:rPr>
            </w:pPr>
          </w:p>
        </w:tc>
      </w:tr>
      <w:tr w:rsidRPr="00FB3CED" w:rsidR="61AA7794" w:rsidTr="00FB3CED" w14:paraId="4E8C5CDF" w14:textId="77777777">
        <w:trPr>
          <w:trHeight w:val="300"/>
        </w:trPr>
        <w:tc>
          <w:tcPr>
            <w:tcW w:w="3828" w:type="dxa"/>
            <w:vAlign w:val="center"/>
          </w:tcPr>
          <w:p w:rsidRPr="00FB3CED" w:rsidR="61AA7794" w:rsidP="61AA7794" w:rsidRDefault="61AA7794" w14:paraId="31C9049F" w14:textId="042298D9">
            <w:pPr>
              <w:spacing w:after="0"/>
              <w:rPr>
                <w:sz w:val="22"/>
                <w:szCs w:val="22"/>
              </w:rPr>
            </w:pPr>
            <w:proofErr w:type="spellStart"/>
            <w:r w:rsidRPr="00FB3CED">
              <w:rPr>
                <w:b/>
                <w:bCs/>
                <w:sz w:val="22"/>
                <w:szCs w:val="22"/>
              </w:rPr>
              <w:t>Coccidioidal</w:t>
            </w:r>
            <w:proofErr w:type="spellEnd"/>
            <w:r w:rsidRPr="00FB3CED">
              <w:rPr>
                <w:b/>
                <w:bCs/>
                <w:sz w:val="22"/>
                <w:szCs w:val="22"/>
              </w:rPr>
              <w:t xml:space="preserve"> meningitis</w:t>
            </w:r>
          </w:p>
        </w:tc>
        <w:tc>
          <w:tcPr>
            <w:tcW w:w="6804" w:type="dxa"/>
            <w:vAlign w:val="center"/>
          </w:tcPr>
          <w:p w:rsidRPr="00FB3CED" w:rsidR="61AA7794" w:rsidP="61AA7794" w:rsidRDefault="61AA7794" w14:paraId="3DB928EF" w14:textId="5D4B598B">
            <w:pPr>
              <w:spacing w:after="0"/>
              <w:rPr>
                <w:sz w:val="22"/>
                <w:szCs w:val="22"/>
              </w:rPr>
            </w:pPr>
            <w:r w:rsidRPr="00FB3CED">
              <w:rPr>
                <w:sz w:val="22"/>
                <w:szCs w:val="22"/>
              </w:rPr>
              <w:t xml:space="preserve">Fluconazole ≥ 400 mg/d </w:t>
            </w:r>
            <w:r w:rsidRPr="00FB3CED">
              <w:rPr>
                <w:b/>
                <w:bCs/>
                <w:sz w:val="22"/>
                <w:szCs w:val="22"/>
              </w:rPr>
              <w:t>lifelong</w:t>
            </w:r>
            <w:r w:rsidRPr="00FB3CED">
              <w:rPr>
                <w:sz w:val="22"/>
                <w:szCs w:val="22"/>
              </w:rPr>
              <w:t xml:space="preserve">; intrathecal </w:t>
            </w:r>
            <w:proofErr w:type="spellStart"/>
            <w:r w:rsidRPr="00FB3CED">
              <w:rPr>
                <w:sz w:val="22"/>
                <w:szCs w:val="22"/>
              </w:rPr>
              <w:t>AmB</w:t>
            </w:r>
            <w:proofErr w:type="spellEnd"/>
            <w:r w:rsidRPr="00FB3CED">
              <w:rPr>
                <w:sz w:val="22"/>
                <w:szCs w:val="22"/>
              </w:rPr>
              <w:t xml:space="preserve"> if failure.</w:t>
            </w:r>
          </w:p>
        </w:tc>
        <w:tc>
          <w:tcPr>
            <w:tcW w:w="5103" w:type="dxa"/>
            <w:vAlign w:val="center"/>
          </w:tcPr>
          <w:p w:rsidRPr="00FB3CED" w:rsidR="61AA7794" w:rsidRDefault="61AA7794" w14:paraId="34256276" w14:textId="1D343C4B">
            <w:pPr>
              <w:rPr>
                <w:sz w:val="22"/>
                <w:szCs w:val="22"/>
              </w:rPr>
            </w:pPr>
          </w:p>
        </w:tc>
      </w:tr>
      <w:tr w:rsidRPr="00FB3CED" w:rsidR="61AA7794" w:rsidTr="00FB3CED" w14:paraId="53992A93" w14:textId="77777777">
        <w:trPr>
          <w:trHeight w:val="300"/>
        </w:trPr>
        <w:tc>
          <w:tcPr>
            <w:tcW w:w="3828" w:type="dxa"/>
            <w:vAlign w:val="center"/>
          </w:tcPr>
          <w:p w:rsidRPr="00FB3CED" w:rsidR="61AA7794" w:rsidP="61AA7794" w:rsidRDefault="61AA7794" w14:paraId="13B3241D" w14:textId="22667146">
            <w:pPr>
              <w:spacing w:after="0"/>
              <w:rPr>
                <w:sz w:val="22"/>
                <w:szCs w:val="22"/>
              </w:rPr>
            </w:pPr>
            <w:proofErr w:type="spellStart"/>
            <w:r w:rsidRPr="00FB3CED">
              <w:rPr>
                <w:b/>
                <w:bCs/>
                <w:sz w:val="22"/>
                <w:szCs w:val="22"/>
              </w:rPr>
              <w:t>Emmonsia</w:t>
            </w:r>
            <w:proofErr w:type="spellEnd"/>
            <w:r w:rsidRPr="00FB3CED">
              <w:rPr>
                <w:b/>
                <w:bCs/>
                <w:sz w:val="22"/>
                <w:szCs w:val="22"/>
              </w:rPr>
              <w:t xml:space="preserve"> complex</w:t>
            </w:r>
          </w:p>
        </w:tc>
        <w:tc>
          <w:tcPr>
            <w:tcW w:w="6804" w:type="dxa"/>
            <w:vAlign w:val="center"/>
          </w:tcPr>
          <w:p w:rsidRPr="00FB3CED" w:rsidR="61AA7794" w:rsidP="61AA7794" w:rsidRDefault="61AA7794" w14:paraId="3F230E84" w14:textId="272CB751">
            <w:pPr>
              <w:spacing w:after="0"/>
              <w:rPr>
                <w:sz w:val="22"/>
                <w:szCs w:val="22"/>
              </w:rPr>
            </w:pPr>
            <w:r w:rsidRPr="00FB3CED">
              <w:rPr>
                <w:sz w:val="22"/>
                <w:szCs w:val="22"/>
              </w:rPr>
              <w:t xml:space="preserve">Start with amphotericin B; azoles </w:t>
            </w:r>
            <w:r w:rsidRPr="00FB3CED">
              <w:rPr>
                <w:b/>
                <w:bCs/>
                <w:sz w:val="22"/>
                <w:szCs w:val="22"/>
              </w:rPr>
              <w:t>alone</w:t>
            </w:r>
            <w:r w:rsidRPr="00FB3CED">
              <w:rPr>
                <w:sz w:val="22"/>
                <w:szCs w:val="22"/>
              </w:rPr>
              <w:t xml:space="preserve"> have higher mortality. </w:t>
            </w:r>
          </w:p>
        </w:tc>
        <w:tc>
          <w:tcPr>
            <w:tcW w:w="5103" w:type="dxa"/>
            <w:vAlign w:val="center"/>
          </w:tcPr>
          <w:p w:rsidRPr="00FB3CED" w:rsidR="61AA7794" w:rsidRDefault="61AA7794" w14:paraId="6446FDB4" w14:textId="348051BA">
            <w:pPr>
              <w:rPr>
                <w:sz w:val="22"/>
                <w:szCs w:val="22"/>
              </w:rPr>
            </w:pPr>
          </w:p>
        </w:tc>
      </w:tr>
    </w:tbl>
    <w:p w:rsidR="61AA7794" w:rsidRDefault="61AA7794" w14:paraId="5F450820" w14:textId="2986EAA4"/>
    <w:p w:rsidR="19DAB5B8" w:rsidP="61AA7794" w:rsidRDefault="19DAB5B8" w14:paraId="49845A8E" w14:textId="3104CA5F">
      <w:pPr>
        <w:pStyle w:val="Heading2"/>
        <w:spacing w:before="299" w:after="299"/>
      </w:pPr>
      <w:r w:rsidRPr="61AA7794">
        <w:rPr>
          <w:rFonts w:ascii="Aptos" w:hAnsi="Aptos" w:eastAsia="Aptos" w:cs="Aptos"/>
          <w:b/>
          <w:bCs/>
          <w:sz w:val="36"/>
          <w:szCs w:val="36"/>
        </w:rPr>
        <w:t xml:space="preserve">8 </w:t>
      </w:r>
      <w:proofErr w:type="gramStart"/>
      <w:r w:rsidRPr="61AA7794">
        <w:rPr>
          <w:rFonts w:ascii="Aptos" w:hAnsi="Aptos" w:eastAsia="Aptos" w:cs="Aptos"/>
          <w:b/>
          <w:bCs/>
          <w:sz w:val="36"/>
          <w:szCs w:val="36"/>
        </w:rPr>
        <w:t>Buzz-Word</w:t>
      </w:r>
      <w:proofErr w:type="gramEnd"/>
      <w:r w:rsidRPr="61AA7794">
        <w:rPr>
          <w:rFonts w:ascii="Aptos" w:hAnsi="Aptos" w:eastAsia="Aptos" w:cs="Aptos"/>
          <w:b/>
          <w:bCs/>
          <w:sz w:val="36"/>
          <w:szCs w:val="36"/>
        </w:rPr>
        <w:t xml:space="preserve"> / Pattern-Recognition Mnemonic Sheet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309"/>
      </w:tblGrid>
      <w:tr w:rsidR="61AA7794" w:rsidTr="00643FA2" w14:paraId="0EA4E83B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4E110B2F" w14:textId="7F684DDA">
            <w:pPr>
              <w:spacing w:after="0"/>
              <w:jc w:val="center"/>
            </w:pPr>
            <w:r w:rsidRPr="61AA7794">
              <w:rPr>
                <w:b/>
                <w:bCs/>
              </w:rPr>
              <w:t>Cue ➜ Answer</w:t>
            </w:r>
          </w:p>
        </w:tc>
      </w:tr>
      <w:tr w:rsidR="61AA7794" w:rsidTr="00643FA2" w14:paraId="34564618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0D0A3623" w14:textId="2636C890">
            <w:pPr>
              <w:spacing w:after="0"/>
            </w:pPr>
            <w:r w:rsidRPr="61AA7794">
              <w:rPr>
                <w:b/>
                <w:bCs/>
              </w:rPr>
              <w:t>Pilot’s-wheel yeast</w:t>
            </w:r>
            <w:r>
              <w:t xml:space="preserve"> ➜ Paracoccidioides</w:t>
            </w:r>
          </w:p>
        </w:tc>
      </w:tr>
      <w:tr w:rsidR="61AA7794" w:rsidTr="00643FA2" w14:paraId="19BD0347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04BC89FD" w14:textId="7F34DF60">
            <w:pPr>
              <w:spacing w:after="0"/>
            </w:pPr>
            <w:r w:rsidRPr="61AA7794">
              <w:rPr>
                <w:b/>
                <w:bCs/>
              </w:rPr>
              <w:t>Tuberculate macroconidia</w:t>
            </w:r>
            <w:r>
              <w:t xml:space="preserve"> ➜ Histoplasma</w:t>
            </w:r>
          </w:p>
        </w:tc>
      </w:tr>
      <w:tr w:rsidR="61AA7794" w:rsidTr="00643FA2" w14:paraId="4193F0D9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5D87F8A8" w14:textId="5EA114BF">
            <w:pPr>
              <w:spacing w:after="0"/>
            </w:pPr>
            <w:r w:rsidRPr="61AA7794">
              <w:rPr>
                <w:b/>
                <w:bCs/>
              </w:rPr>
              <w:t>Broad-based bud</w:t>
            </w:r>
            <w:r>
              <w:t xml:space="preserve"> ➜ Blastomyces</w:t>
            </w:r>
          </w:p>
        </w:tc>
      </w:tr>
      <w:tr w:rsidR="61AA7794" w:rsidTr="00643FA2" w14:paraId="071AD4BF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6DC1EA8F" w14:textId="6453C58A">
            <w:pPr>
              <w:spacing w:after="0"/>
            </w:pPr>
            <w:r w:rsidRPr="61AA7794">
              <w:rPr>
                <w:b/>
                <w:bCs/>
              </w:rPr>
              <w:t>Large spherule with endospores</w:t>
            </w:r>
            <w:r>
              <w:t xml:space="preserve"> ➜ Coccidioides</w:t>
            </w:r>
          </w:p>
        </w:tc>
      </w:tr>
      <w:tr w:rsidR="61AA7794" w:rsidTr="00643FA2" w14:paraId="49AB9D1E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64BE6282" w14:textId="407F3954">
            <w:pPr>
              <w:spacing w:after="0"/>
            </w:pPr>
            <w:r w:rsidRPr="61AA7794">
              <w:rPr>
                <w:b/>
                <w:bCs/>
              </w:rPr>
              <w:t>Transverse-septate yeast &amp; red pigment</w:t>
            </w:r>
            <w:r>
              <w:t xml:space="preserve"> ➜ </w:t>
            </w:r>
            <w:r w:rsidRPr="61AA7794">
              <w:rPr>
                <w:i/>
                <w:iCs/>
              </w:rPr>
              <w:t xml:space="preserve">T. </w:t>
            </w:r>
            <w:proofErr w:type="spellStart"/>
            <w:r w:rsidRPr="61AA7794">
              <w:rPr>
                <w:i/>
                <w:iCs/>
              </w:rPr>
              <w:t>marneffei</w:t>
            </w:r>
            <w:proofErr w:type="spellEnd"/>
          </w:p>
        </w:tc>
      </w:tr>
      <w:tr w:rsidR="61AA7794" w:rsidTr="00643FA2" w14:paraId="397156F0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657B2648" w14:textId="3CA9ADBD">
            <w:pPr>
              <w:spacing w:after="0"/>
            </w:pPr>
            <w:r w:rsidRPr="61AA7794">
              <w:rPr>
                <w:b/>
                <w:bCs/>
              </w:rPr>
              <w:t>Emerging “Histoplasma-like” in HIV, needs sequencing</w:t>
            </w:r>
            <w:r>
              <w:t xml:space="preserve"> ➜ </w:t>
            </w:r>
            <w:proofErr w:type="spellStart"/>
            <w:r>
              <w:t>Emmonsia</w:t>
            </w:r>
            <w:proofErr w:type="spellEnd"/>
          </w:p>
        </w:tc>
      </w:tr>
      <w:tr w:rsidR="61AA7794" w:rsidTr="00643FA2" w14:paraId="173D5FD0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435EF198" w14:textId="4A819043">
            <w:pPr>
              <w:spacing w:after="0"/>
            </w:pPr>
            <w:r w:rsidRPr="61AA7794">
              <w:rPr>
                <w:b/>
                <w:bCs/>
              </w:rPr>
              <w:t>Earthquake / dust storm outbreak</w:t>
            </w:r>
            <w:r>
              <w:t xml:space="preserve"> ➜ Coccidioidomycosis</w:t>
            </w:r>
          </w:p>
        </w:tc>
      </w:tr>
      <w:tr w:rsidR="61AA7794" w:rsidTr="00643FA2" w14:paraId="0EB72142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5E070F00" w14:textId="355F2766">
            <w:pPr>
              <w:spacing w:after="0"/>
            </w:pPr>
            <w:r w:rsidRPr="61AA7794">
              <w:rPr>
                <w:b/>
                <w:bCs/>
              </w:rPr>
              <w:t>Red pigment + bamboo-rat ecology</w:t>
            </w:r>
            <w:r>
              <w:t xml:space="preserve"> ➜ </w:t>
            </w:r>
            <w:r w:rsidRPr="61AA7794">
              <w:rPr>
                <w:i/>
                <w:iCs/>
              </w:rPr>
              <w:t xml:space="preserve">T. </w:t>
            </w:r>
            <w:proofErr w:type="spellStart"/>
            <w:r w:rsidRPr="61AA7794">
              <w:rPr>
                <w:i/>
                <w:iCs/>
              </w:rPr>
              <w:t>marneffei</w:t>
            </w:r>
            <w:proofErr w:type="spellEnd"/>
          </w:p>
        </w:tc>
      </w:tr>
      <w:tr w:rsidR="61AA7794" w:rsidTr="00643FA2" w14:paraId="33D1F755" w14:textId="77777777">
        <w:trPr>
          <w:trHeight w:val="300"/>
        </w:trPr>
        <w:tc>
          <w:tcPr>
            <w:tcW w:w="15309" w:type="dxa"/>
            <w:vAlign w:val="center"/>
          </w:tcPr>
          <w:p w:rsidR="61AA7794" w:rsidP="61AA7794" w:rsidRDefault="61AA7794" w14:paraId="10FA1C2D" w14:textId="12C86BAF">
            <w:pPr>
              <w:spacing w:after="0"/>
            </w:pPr>
            <w:r w:rsidRPr="61AA7794">
              <w:rPr>
                <w:b/>
                <w:bCs/>
              </w:rPr>
              <w:t>Sequencing required for ID</w:t>
            </w:r>
            <w:r>
              <w:t xml:space="preserve"> ➜ </w:t>
            </w:r>
            <w:proofErr w:type="spellStart"/>
            <w:r>
              <w:t>Emmonsia</w:t>
            </w:r>
            <w:proofErr w:type="spellEnd"/>
            <w:r>
              <w:t xml:space="preserve"> complex</w:t>
            </w:r>
          </w:p>
        </w:tc>
      </w:tr>
    </w:tbl>
    <w:p w:rsidR="61AA7794" w:rsidRDefault="61AA7794" w14:paraId="64440380" w14:textId="083273FE"/>
    <w:p w:rsidR="19DAB5B8" w:rsidP="61AA7794" w:rsidRDefault="19DAB5B8" w14:paraId="0AE9F5C8" w14:textId="62FDE7BB">
      <w:pPr>
        <w:pStyle w:val="Heading2"/>
        <w:spacing w:before="299" w:after="299"/>
      </w:pPr>
      <w:r w:rsidRPr="61AA7794">
        <w:rPr>
          <w:rFonts w:ascii="Aptos" w:hAnsi="Aptos" w:eastAsia="Aptos" w:cs="Aptos"/>
          <w:b/>
          <w:bCs/>
          <w:sz w:val="36"/>
          <w:szCs w:val="36"/>
        </w:rPr>
        <w:lastRenderedPageBreak/>
        <w:t>9 Structured Answer Framework (use in viva / SAQ)</w:t>
      </w:r>
    </w:p>
    <w:p w:rsidR="19DAB5B8" w:rsidP="61AA7794" w:rsidRDefault="19DAB5B8" w14:paraId="418C08CE" w14:textId="7D62D068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61AA7794">
        <w:rPr>
          <w:rFonts w:ascii="Aptos" w:hAnsi="Aptos" w:eastAsia="Aptos" w:cs="Aptos"/>
          <w:b/>
          <w:bCs/>
        </w:rPr>
        <w:t>Name organism &amp; geography</w:t>
      </w:r>
      <w:r w:rsidRPr="61AA7794">
        <w:rPr>
          <w:rFonts w:ascii="Aptos" w:hAnsi="Aptos" w:eastAsia="Aptos" w:cs="Aptos"/>
        </w:rPr>
        <w:t xml:space="preserve"> (mention family classification).</w:t>
      </w:r>
    </w:p>
    <w:p w:rsidR="19DAB5B8" w:rsidP="61AA7794" w:rsidRDefault="19DAB5B8" w14:paraId="5BE21839" w14:textId="4F565254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61AA7794">
        <w:rPr>
          <w:rFonts w:ascii="Aptos" w:hAnsi="Aptos" w:eastAsia="Aptos" w:cs="Aptos"/>
          <w:b/>
          <w:bCs/>
        </w:rPr>
        <w:t>Describe pathogenesis</w:t>
      </w:r>
      <w:r w:rsidRPr="61AA7794">
        <w:rPr>
          <w:rFonts w:ascii="Aptos" w:hAnsi="Aptos" w:eastAsia="Aptos" w:cs="Aptos"/>
        </w:rPr>
        <w:t xml:space="preserve"> (inhalation → thermal switch → immune evasion molecule).</w:t>
      </w:r>
    </w:p>
    <w:p w:rsidR="19DAB5B8" w:rsidP="61AA7794" w:rsidRDefault="19DAB5B8" w14:paraId="4240CDA1" w14:textId="5DE0A340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61AA7794">
        <w:rPr>
          <w:rFonts w:ascii="Aptos" w:hAnsi="Aptos" w:eastAsia="Aptos" w:cs="Aptos"/>
          <w:b/>
          <w:bCs/>
        </w:rPr>
        <w:t>Quote incubation &amp; latency</w:t>
      </w:r>
      <w:r w:rsidRPr="61AA7794">
        <w:rPr>
          <w:rFonts w:ascii="Aptos" w:hAnsi="Aptos" w:eastAsia="Aptos" w:cs="Aptos"/>
        </w:rPr>
        <w:t xml:space="preserve"> (numbers above).</w:t>
      </w:r>
    </w:p>
    <w:p w:rsidR="19DAB5B8" w:rsidP="61AA7794" w:rsidRDefault="19DAB5B8" w14:paraId="1DD11DE9" w14:textId="5A7EE92D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61AA7794">
        <w:rPr>
          <w:rFonts w:ascii="Aptos" w:hAnsi="Aptos" w:eastAsia="Aptos" w:cs="Aptos"/>
          <w:b/>
          <w:bCs/>
        </w:rPr>
        <w:t>Set out clinical forms</w:t>
      </w:r>
      <w:r w:rsidRPr="61AA7794">
        <w:rPr>
          <w:rFonts w:ascii="Aptos" w:hAnsi="Aptos" w:eastAsia="Aptos" w:cs="Aptos"/>
        </w:rPr>
        <w:t xml:space="preserve"> (acute, chronic, disseminated ± unique features).</w:t>
      </w:r>
    </w:p>
    <w:p w:rsidR="19DAB5B8" w:rsidP="61AA7794" w:rsidRDefault="19DAB5B8" w14:paraId="1457018B" w14:textId="1A21FBB4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61AA7794">
        <w:rPr>
          <w:rFonts w:ascii="Aptos" w:hAnsi="Aptos" w:eastAsia="Aptos" w:cs="Aptos"/>
          <w:b/>
          <w:bCs/>
        </w:rPr>
        <w:t>Laboratory diagnosis</w:t>
      </w:r>
      <w:r w:rsidRPr="61AA7794">
        <w:rPr>
          <w:rFonts w:ascii="Aptos" w:hAnsi="Aptos" w:eastAsia="Aptos" w:cs="Aptos"/>
        </w:rPr>
        <w:t xml:space="preserve"> (direct microscopy clue → culture morphology &amp; growth time → rapid antigen/serology/PCR, plus BSL-3 precautions).</w:t>
      </w:r>
    </w:p>
    <w:p w:rsidR="19DAB5B8" w:rsidP="61AA7794" w:rsidRDefault="19DAB5B8" w14:paraId="000F8287" w14:textId="13AE90DA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61AA7794">
        <w:rPr>
          <w:rFonts w:ascii="Aptos" w:hAnsi="Aptos" w:eastAsia="Aptos" w:cs="Aptos"/>
          <w:b/>
          <w:bCs/>
        </w:rPr>
        <w:t>Management plan</w:t>
      </w:r>
      <w:r w:rsidRPr="61AA7794">
        <w:rPr>
          <w:rFonts w:ascii="Aptos" w:hAnsi="Aptos" w:eastAsia="Aptos" w:cs="Aptos"/>
        </w:rPr>
        <w:t xml:space="preserve"> (drug, dose, </w:t>
      </w:r>
      <w:proofErr w:type="gramStart"/>
      <w:r w:rsidRPr="61AA7794">
        <w:rPr>
          <w:rFonts w:ascii="Aptos" w:hAnsi="Aptos" w:eastAsia="Aptos" w:cs="Aptos"/>
        </w:rPr>
        <w:t>duration;</w:t>
      </w:r>
      <w:proofErr w:type="gramEnd"/>
      <w:r w:rsidRPr="61AA7794">
        <w:rPr>
          <w:rFonts w:ascii="Aptos" w:hAnsi="Aptos" w:eastAsia="Aptos" w:cs="Aptos"/>
        </w:rPr>
        <w:t xml:space="preserve"> when to give prophylaxis).</w:t>
      </w:r>
    </w:p>
    <w:p w:rsidR="19DAB5B8" w:rsidP="61AA7794" w:rsidRDefault="19DAB5B8" w14:paraId="7D72E2E2" w14:textId="05AA8E68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61AA7794">
        <w:rPr>
          <w:rFonts w:ascii="Aptos" w:hAnsi="Aptos" w:eastAsia="Aptos" w:cs="Aptos"/>
          <w:b/>
          <w:bCs/>
        </w:rPr>
        <w:t>Complications &amp; prognosis</w:t>
      </w:r>
      <w:r w:rsidRPr="61AA7794">
        <w:rPr>
          <w:rFonts w:ascii="Aptos" w:hAnsi="Aptos" w:eastAsia="Aptos" w:cs="Aptos"/>
        </w:rPr>
        <w:t xml:space="preserve"> (e.g., adrenal failure in PCM, meningitis in Cocci).</w:t>
      </w:r>
    </w:p>
    <w:p w:rsidR="19DAB5B8" w:rsidP="61AA7794" w:rsidRDefault="19DAB5B8" w14:paraId="0056C811" w14:textId="329B669E">
      <w:pPr>
        <w:spacing w:before="240" w:after="240"/>
      </w:pPr>
      <w:r w:rsidRPr="61AA7794">
        <w:rPr>
          <w:rFonts w:ascii="Aptos" w:hAnsi="Aptos" w:eastAsia="Aptos" w:cs="Aptos"/>
          <w:b/>
          <w:bCs/>
        </w:rPr>
        <w:t>Self-check mantra:</w:t>
      </w:r>
      <w:r w:rsidRPr="61AA7794">
        <w:rPr>
          <w:rFonts w:ascii="Aptos" w:hAnsi="Aptos" w:eastAsia="Aptos" w:cs="Aptos"/>
        </w:rPr>
        <w:t xml:space="preserve"> </w:t>
      </w:r>
      <w:r w:rsidRPr="61AA7794">
        <w:rPr>
          <w:rFonts w:ascii="Aptos" w:hAnsi="Aptos" w:eastAsia="Aptos" w:cs="Aptos"/>
          <w:i/>
          <w:iCs/>
        </w:rPr>
        <w:t>“One incubation fact, one antigen or PCR test, one pathogenesis molecule, one therapy nuance for every dimorphic.”</w:t>
      </w:r>
      <w:r w:rsidRPr="61AA7794">
        <w:rPr>
          <w:rFonts w:ascii="Aptos" w:hAnsi="Aptos" w:eastAsia="Aptos" w:cs="Aptos"/>
        </w:rPr>
        <w:t xml:space="preserve"> If you can recite that for all six, you are exam-ready!</w:t>
      </w:r>
    </w:p>
    <w:p w:rsidR="61AA7794" w:rsidP="61AA7794" w:rsidRDefault="61AA7794" w14:paraId="733C2406" w14:textId="1FAA8143">
      <w:pPr>
        <w:rPr>
          <w:rFonts w:ascii="Aptos" w:hAnsi="Aptos" w:eastAsia="Aptos" w:cs="Aptos"/>
          <w:b/>
          <w:bCs/>
        </w:rPr>
      </w:pPr>
    </w:p>
    <w:sectPr w:rsidR="61AA7794" w:rsidSect="00783648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45fec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629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c4b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732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6B7D84"/>
    <w:multiLevelType w:val="hybridMultilevel"/>
    <w:tmpl w:val="FFFFFFFF"/>
    <w:lvl w:ilvl="0" w:tplc="F3A838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76E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568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630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C0F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D47C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147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129C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6AF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7571F1"/>
    <w:multiLevelType w:val="hybridMultilevel"/>
    <w:tmpl w:val="FFFFFFFF"/>
    <w:lvl w:ilvl="0" w:tplc="8AE4D726">
      <w:start w:val="1"/>
      <w:numFmt w:val="decimal"/>
      <w:lvlText w:val="%1."/>
      <w:lvlJc w:val="left"/>
      <w:pPr>
        <w:ind w:left="720" w:hanging="360"/>
      </w:pPr>
    </w:lvl>
    <w:lvl w:ilvl="1" w:tplc="5C7A4488">
      <w:start w:val="1"/>
      <w:numFmt w:val="lowerLetter"/>
      <w:lvlText w:val="%2."/>
      <w:lvlJc w:val="left"/>
      <w:pPr>
        <w:ind w:left="1440" w:hanging="360"/>
      </w:pPr>
    </w:lvl>
    <w:lvl w:ilvl="2" w:tplc="6C125E34">
      <w:start w:val="1"/>
      <w:numFmt w:val="lowerRoman"/>
      <w:lvlText w:val="%3."/>
      <w:lvlJc w:val="right"/>
      <w:pPr>
        <w:ind w:left="2160" w:hanging="180"/>
      </w:pPr>
    </w:lvl>
    <w:lvl w:ilvl="3" w:tplc="4CEC730A">
      <w:start w:val="1"/>
      <w:numFmt w:val="decimal"/>
      <w:lvlText w:val="%4."/>
      <w:lvlJc w:val="left"/>
      <w:pPr>
        <w:ind w:left="2880" w:hanging="360"/>
      </w:pPr>
    </w:lvl>
    <w:lvl w:ilvl="4" w:tplc="DE10AE34">
      <w:start w:val="1"/>
      <w:numFmt w:val="lowerLetter"/>
      <w:lvlText w:val="%5."/>
      <w:lvlJc w:val="left"/>
      <w:pPr>
        <w:ind w:left="3600" w:hanging="360"/>
      </w:pPr>
    </w:lvl>
    <w:lvl w:ilvl="5" w:tplc="9EB87C52">
      <w:start w:val="1"/>
      <w:numFmt w:val="lowerRoman"/>
      <w:lvlText w:val="%6."/>
      <w:lvlJc w:val="right"/>
      <w:pPr>
        <w:ind w:left="4320" w:hanging="180"/>
      </w:pPr>
    </w:lvl>
    <w:lvl w:ilvl="6" w:tplc="DEECA258">
      <w:start w:val="1"/>
      <w:numFmt w:val="decimal"/>
      <w:lvlText w:val="%7."/>
      <w:lvlJc w:val="left"/>
      <w:pPr>
        <w:ind w:left="5040" w:hanging="360"/>
      </w:pPr>
    </w:lvl>
    <w:lvl w:ilvl="7" w:tplc="AA366CA6">
      <w:start w:val="1"/>
      <w:numFmt w:val="lowerLetter"/>
      <w:lvlText w:val="%8."/>
      <w:lvlJc w:val="left"/>
      <w:pPr>
        <w:ind w:left="5760" w:hanging="360"/>
      </w:pPr>
    </w:lvl>
    <w:lvl w:ilvl="8" w:tplc="84449F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B032"/>
    <w:multiLevelType w:val="hybridMultilevel"/>
    <w:tmpl w:val="FFFFFFFF"/>
    <w:lvl w:ilvl="0" w:tplc="6F021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587E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8A07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C81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88D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64FC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F220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50AD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2491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CEAC90"/>
    <w:multiLevelType w:val="hybridMultilevel"/>
    <w:tmpl w:val="FFFFFFFF"/>
    <w:lvl w:ilvl="0" w:tplc="25E2B768">
      <w:start w:val="1"/>
      <w:numFmt w:val="decimal"/>
      <w:lvlText w:val="%1."/>
      <w:lvlJc w:val="left"/>
      <w:pPr>
        <w:ind w:left="720" w:hanging="360"/>
      </w:pPr>
    </w:lvl>
    <w:lvl w:ilvl="1" w:tplc="A34E6376">
      <w:start w:val="1"/>
      <w:numFmt w:val="lowerLetter"/>
      <w:lvlText w:val="%2."/>
      <w:lvlJc w:val="left"/>
      <w:pPr>
        <w:ind w:left="1440" w:hanging="360"/>
      </w:pPr>
    </w:lvl>
    <w:lvl w:ilvl="2" w:tplc="3CDC30A8">
      <w:start w:val="1"/>
      <w:numFmt w:val="lowerRoman"/>
      <w:lvlText w:val="%3."/>
      <w:lvlJc w:val="right"/>
      <w:pPr>
        <w:ind w:left="2160" w:hanging="180"/>
      </w:pPr>
    </w:lvl>
    <w:lvl w:ilvl="3" w:tplc="26BEC7AA">
      <w:start w:val="1"/>
      <w:numFmt w:val="decimal"/>
      <w:lvlText w:val="%4."/>
      <w:lvlJc w:val="left"/>
      <w:pPr>
        <w:ind w:left="2880" w:hanging="360"/>
      </w:pPr>
    </w:lvl>
    <w:lvl w:ilvl="4" w:tplc="746258EE">
      <w:start w:val="1"/>
      <w:numFmt w:val="lowerLetter"/>
      <w:lvlText w:val="%5."/>
      <w:lvlJc w:val="left"/>
      <w:pPr>
        <w:ind w:left="3600" w:hanging="360"/>
      </w:pPr>
    </w:lvl>
    <w:lvl w:ilvl="5" w:tplc="233E49FC">
      <w:start w:val="1"/>
      <w:numFmt w:val="lowerRoman"/>
      <w:lvlText w:val="%6."/>
      <w:lvlJc w:val="right"/>
      <w:pPr>
        <w:ind w:left="4320" w:hanging="180"/>
      </w:pPr>
    </w:lvl>
    <w:lvl w:ilvl="6" w:tplc="D7AEA90C">
      <w:start w:val="1"/>
      <w:numFmt w:val="decimal"/>
      <w:lvlText w:val="%7."/>
      <w:lvlJc w:val="left"/>
      <w:pPr>
        <w:ind w:left="5040" w:hanging="360"/>
      </w:pPr>
    </w:lvl>
    <w:lvl w:ilvl="7" w:tplc="BDAE64C6">
      <w:start w:val="1"/>
      <w:numFmt w:val="lowerLetter"/>
      <w:lvlText w:val="%8."/>
      <w:lvlJc w:val="left"/>
      <w:pPr>
        <w:ind w:left="5760" w:hanging="360"/>
      </w:pPr>
    </w:lvl>
    <w:lvl w:ilvl="8" w:tplc="7F30D9EA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463500743">
    <w:abstractNumId w:val="1"/>
  </w:num>
  <w:num w:numId="2" w16cid:durableId="1877352207">
    <w:abstractNumId w:val="2"/>
  </w:num>
  <w:num w:numId="3" w16cid:durableId="288316722">
    <w:abstractNumId w:val="3"/>
  </w:num>
  <w:num w:numId="4" w16cid:durableId="45193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9FC503"/>
    <w:rsid w:val="000D108F"/>
    <w:rsid w:val="0031541F"/>
    <w:rsid w:val="003D1E7D"/>
    <w:rsid w:val="004007B7"/>
    <w:rsid w:val="00592BB1"/>
    <w:rsid w:val="005D1D15"/>
    <w:rsid w:val="00643FA2"/>
    <w:rsid w:val="00713E54"/>
    <w:rsid w:val="00783648"/>
    <w:rsid w:val="00896F78"/>
    <w:rsid w:val="00B8752D"/>
    <w:rsid w:val="00C40D50"/>
    <w:rsid w:val="00DE4B99"/>
    <w:rsid w:val="00EA6F49"/>
    <w:rsid w:val="00FB3CED"/>
    <w:rsid w:val="055FD173"/>
    <w:rsid w:val="059DC9D9"/>
    <w:rsid w:val="0774D2A4"/>
    <w:rsid w:val="08592D7D"/>
    <w:rsid w:val="19DAB5B8"/>
    <w:rsid w:val="21534B24"/>
    <w:rsid w:val="318B1699"/>
    <w:rsid w:val="429FC503"/>
    <w:rsid w:val="540B8EDD"/>
    <w:rsid w:val="5F3B7E4E"/>
    <w:rsid w:val="61AA7794"/>
    <w:rsid w:val="620D4C8D"/>
    <w:rsid w:val="64CBB32A"/>
    <w:rsid w:val="6F91A408"/>
    <w:rsid w:val="7305BF74"/>
    <w:rsid w:val="74009181"/>
    <w:rsid w:val="7D1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C503"/>
  <w15:chartTrackingRefBased/>
  <w15:docId w15:val="{763DF175-AE10-4CE4-AD22-73662054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61AA7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1AA779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954403826" /><Relationship Type="http://schemas.openxmlformats.org/officeDocument/2006/relationships/image" Target="/media/image2.png" Id="rId26527193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18</revision>
  <dcterms:created xsi:type="dcterms:W3CDTF">2025-07-24T14:44:00.0000000Z</dcterms:created>
  <dcterms:modified xsi:type="dcterms:W3CDTF">2025-08-27T10:22:54.8899204Z</dcterms:modified>
</coreProperties>
</file>