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line="480" w:lineRule="auto"/>
        <w:rPr/>
      </w:pPr>
      <w:r w:rsidDel="00000000" w:rsidR="00000000" w:rsidRPr="00000000">
        <w:rPr>
          <w:rtl w:val="0"/>
        </w:rPr>
        <w:t xml:space="preserve">SOC 345</w:t>
      </w:r>
    </w:p>
    <w:p w:rsidR="00000000" w:rsidDel="00000000" w:rsidP="00000000" w:rsidRDefault="00000000" w:rsidRPr="00000000" w14:paraId="00000004">
      <w:pPr>
        <w:spacing w:line="480" w:lineRule="auto"/>
        <w:rPr/>
      </w:pPr>
      <w:r w:rsidDel="00000000" w:rsidR="00000000" w:rsidRPr="00000000">
        <w:rPr>
          <w:rtl w:val="0"/>
        </w:rPr>
        <w:t xml:space="preserve">15</w:t>
      </w:r>
      <w:r w:rsidDel="00000000" w:rsidR="00000000" w:rsidRPr="00000000">
        <w:rPr>
          <w:vertAlign w:val="baseline"/>
          <w:rtl w:val="0"/>
        </w:rPr>
        <w:t xml:space="preserve"> </w:t>
      </w:r>
      <w:r w:rsidDel="00000000" w:rsidR="00000000" w:rsidRPr="00000000">
        <w:rPr>
          <w:rtl w:val="0"/>
        </w:rPr>
        <w:t xml:space="preserve">October</w:t>
      </w:r>
      <w:r w:rsidDel="00000000" w:rsidR="00000000" w:rsidRPr="00000000">
        <w:rPr>
          <w:vertAlign w:val="baseline"/>
          <w:rtl w:val="0"/>
        </w:rPr>
        <w:t xml:space="preserve"> 2025</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t xml:space="preserve">The Future of Applying Ideological Equality in America</w:t>
      </w:r>
    </w:p>
    <w:p w:rsidR="00000000" w:rsidDel="00000000" w:rsidP="00000000" w:rsidRDefault="00000000" w:rsidRPr="00000000" w14:paraId="00000006">
      <w:pPr>
        <w:spacing w:line="480" w:lineRule="auto"/>
        <w:rPr/>
      </w:pPr>
      <w:r w:rsidDel="00000000" w:rsidR="00000000" w:rsidRPr="00000000">
        <w:rPr>
          <w:rtl w:val="0"/>
        </w:rPr>
        <w:tab/>
        <w:t xml:space="preserve">Over the course of the past century America has shifted from a relatively homogeneous culture placing priority on assimilation and the nuclear family to a more diverse society defined by stratified social identities. Towards the end of the civil rights movement the codified laws which would be created in the name of forcing an end to segregation would see many positive outcomes but in practice some mandates have often fallen short due to inconsistent enforcement and uneven social integration. To contrast, the most homogeneous societies of the world are also the ones with the best success of welfare implementation, as social consensus and shared norms can simplify policy coordination. In the United States, however, the ongoing struggle to balance cultural diversity with cohesive national identity has placed increased pressure on traditional family structures. This family structure shift stems from the struggles of maintaining a non-homogenous national identity and prospects of the shape this could take tend to form around two schools of thought.</w:t>
      </w:r>
    </w:p>
    <w:p w:rsidR="00000000" w:rsidDel="00000000" w:rsidP="00000000" w:rsidRDefault="00000000" w:rsidRPr="00000000" w14:paraId="00000007">
      <w:pPr>
        <w:spacing w:line="480" w:lineRule="auto"/>
        <w:rPr/>
      </w:pPr>
      <w:r w:rsidDel="00000000" w:rsidR="00000000" w:rsidRPr="00000000">
        <w:rPr>
          <w:rtl w:val="0"/>
        </w:rPr>
        <w:tab/>
        <w:t xml:space="preserve">Firstly, the once normative traditional American family with a husband, wife, and kids has now become the counterculture and can be predicted to see a return due to the weakness of maintaining collective values in an increasingly diverse society. Most trends fluctuate so seeing a return to form based on strong family bonds free of ambiguity is a viable option. Many today believe rapid social changes have progressed too forcibly due to the application of political agendas on social thought instead of organic cultural evolution. Current debates over family values, gender roles, and cultural identity have been often too politicized. This changes what would otherwise be normative social adaptations into an ideological battleground. This politicization risks obscuring genuine discussions about how best to gauge a balance between equality, stability, and personal freedom within modern family life.</w:t>
      </w:r>
    </w:p>
    <w:p w:rsidR="00000000" w:rsidDel="00000000" w:rsidP="00000000" w:rsidRDefault="00000000" w:rsidRPr="00000000" w14:paraId="00000008">
      <w:pPr>
        <w:spacing w:line="480" w:lineRule="auto"/>
        <w:ind w:firstLine="720"/>
        <w:rPr/>
      </w:pPr>
      <w:r w:rsidDel="00000000" w:rsidR="00000000" w:rsidRPr="00000000">
        <w:rPr>
          <w:rtl w:val="0"/>
        </w:rPr>
        <w:t xml:space="preserve">The crux of the issue can be understood when looking at the codified laws being proposed to combat inequality in the workplace and household. The ultimate logic for dictating a replacement of social norms is not clearly defined in many instances allowing for perpetual violations of the ultimate cause being fought for. This issue is not new as various civil rights laws like the Title 7 of the Civil Rights Act of 1964 and the Equal Pay Act of 1963 suffer from the same issue of legal ambiguity. One good example of modern equality legislation passed in the UK in recent years. Laws like the Equality Act of 2010 (UK) often leave ambiguous explanations on how it intends to change social norms. The ultimate change achieved by these types of legislation are inherently weak because even though it defines new standards to meet, things like failing to define sexual orientation clearly end up not enshrining the social leap it was intended to. This applies to the US because there was intent on implementing an adapted version which never came to fruition. </w:t>
      </w:r>
    </w:p>
    <w:p w:rsidR="00000000" w:rsidDel="00000000" w:rsidP="00000000" w:rsidRDefault="00000000" w:rsidRPr="00000000" w14:paraId="00000009">
      <w:pPr>
        <w:spacing w:line="480" w:lineRule="auto"/>
        <w:ind w:firstLine="720"/>
        <w:rPr/>
      </w:pPr>
      <w:r w:rsidDel="00000000" w:rsidR="00000000" w:rsidRPr="00000000">
        <w:rPr>
          <w:rtl w:val="0"/>
        </w:rPr>
        <w:t xml:space="preserve">The sociological thinker Durkheim comes to mind when defining the problems of practicing ambiguous policies. To quote Sociology of Law by Milovanovic on Durkheim social philosophy, he states “Durkheim assumes that society, left to itself, will evolve from the traditional to the complex form,” existing in “a state of equilibrium.” However, “when these adjustments do not take place,” he notes, “a state Durkheim referred to as anomie” emerges, an idea “many criminologists embed or assume in their explanation of crime.” (Milovanovic 2022, p.67) This state of anomie (normlessness) can be seen much more vividly than ever before, perhaps resulting in accepted application of normlessness as the norm. Something as simple as the man paying on the first date or asking another on a date is being actively torn down making what was already a difficult hurdle for people to make now being thrown into question; a socially accepted procedure for centuries. This state of anomie, or normlessness, according to Durkheim’s philosophy, is also linked to suicide. In a time when the application of equitable laws is at an all-time high, this may correlate with rising male suicide rates from 18.1 per 100,000 in 1968 to 22.8 per 100,000 in 2023, an increase of 26% (National Institute of Mental Health) potentially reflecting a displacement of their societal roles.</w:t>
      </w:r>
    </w:p>
    <w:p w:rsidR="00000000" w:rsidDel="00000000" w:rsidP="00000000" w:rsidRDefault="00000000" w:rsidRPr="00000000" w14:paraId="0000000A">
      <w:pPr>
        <w:spacing w:line="480" w:lineRule="auto"/>
        <w:ind w:firstLine="720"/>
        <w:rPr/>
      </w:pPr>
      <w:r w:rsidDel="00000000" w:rsidR="00000000" w:rsidRPr="00000000">
        <w:rPr>
          <w:rtl w:val="0"/>
        </w:rPr>
        <w:t xml:space="preserve">To understand the place that counter-traditional relational ideologies will take in the coming years you need to first break down the aspects these groups use to define themselves. The future of gay couples in America is undoubtedly an important one and many social thinkers believe these social advancements are being normalized much like racial integration once was. There are many debates within LGBTQ+ movements about how internal representation and behavior have influenced public perceptions, sometimes hindering support. There is no better way to tear down a movement than to evoke societal reactions to perceived displays of misconduct. The civil rights activists did a very good job at showing how strongly spoken they were to the public and everything from the way they dressed to the way they organized and conducted themselves saw them winning social acceptance, changing predominant beliefs. Homosexuality being sexual in nature has seen problems of acceptance due to displays of social misconduct and demands of image reorientation are needed in order to spark lasting transformative change. Recognizing how image and perception influence public acceptance is essential as these factors directly impact whether policies aimed at family equality achieve genuine integration or remain symbolically progressive.</w:t>
      </w:r>
    </w:p>
    <w:p w:rsidR="00000000" w:rsidDel="00000000" w:rsidP="00000000" w:rsidRDefault="00000000" w:rsidRPr="00000000" w14:paraId="0000000B">
      <w:pPr>
        <w:spacing w:line="480" w:lineRule="auto"/>
        <w:ind w:firstLine="720"/>
        <w:rPr/>
      </w:pPr>
      <w:r w:rsidDel="00000000" w:rsidR="00000000" w:rsidRPr="00000000">
        <w:rPr>
          <w:rtl w:val="0"/>
        </w:rPr>
        <w:t xml:space="preserve">Along the more contemporary lines of reform, if Europe is to be used as a model for America in the coming years there are plenty of positive and negative takeaways to understand before new laws become formalized. Positive takeaways include laws like Norway's Paid Parental Leave and “Use-It-or-Lose-It” quotas which sees all parents being entitled to paid leave even reserving a portion for fathers. This is a good example because not only does it shift workplace norms but it also helps the parents fulfil their family duties at home. One other example would be Germany's Anti-Discrimination Act (Allgemeines Gleichbehandlungsgesetz, AGG) which nets some benefits like providing a clear legal framework for victims of workplace discriminatory practices and a focus on encouraging proactive HR policies. The categorizations within this remedy based approach helps reduce confusion in interpretation allowing for clear paths for enforcement. </w:t>
      </w:r>
    </w:p>
    <w:p w:rsidR="00000000" w:rsidDel="00000000" w:rsidP="00000000" w:rsidRDefault="00000000" w:rsidRPr="00000000" w14:paraId="0000000C">
      <w:pPr>
        <w:spacing w:line="480" w:lineRule="auto"/>
        <w:ind w:firstLine="720"/>
        <w:rPr/>
      </w:pPr>
      <w:r w:rsidDel="00000000" w:rsidR="00000000" w:rsidRPr="00000000">
        <w:rPr>
          <w:rtl w:val="0"/>
        </w:rPr>
        <w:t xml:space="preserve">Regarding examples not to follow France’s Gender Parity in Politics Law (2000) and EU’s Directive on Work-Life Balance (2019) provide a good contrast. With France’s law it explains a requirement for political parties to present 50% female, 50% male candidate nomination. Results here are thoroughly superficial as the issue of political representation among women in France, even though statistically improved, still lacks a qualitative effect with women being placed in local non-competitive districts for party compliance purposes. The EU directive on work life balance sees a different set of issues. It is designed to encourage flexible working arrangements and parental leave across EU states but because it is another EU law designed to be applied in countries with completely different internal interests application and enforcement suffer putting into question the integrity of the law’s legitimization. The United States can learn from this aspect especially in a time where federal legal precedent is used to apply to states which fail to share social values of other states. Laws are always best applied at the state level first and foremost because they’re more likely to reflect the communities interests. When it comes to family representation nothing could be farther away than a federal mandate.</w:t>
      </w:r>
    </w:p>
    <w:p w:rsidR="00000000" w:rsidDel="00000000" w:rsidP="00000000" w:rsidRDefault="00000000" w:rsidRPr="00000000" w14:paraId="0000000D">
      <w:pPr>
        <w:spacing w:line="480" w:lineRule="auto"/>
        <w:ind w:firstLine="720"/>
        <w:rPr/>
      </w:pPr>
      <w:r w:rsidDel="00000000" w:rsidR="00000000" w:rsidRPr="00000000">
        <w:rPr>
          <w:rtl w:val="0"/>
        </w:rPr>
        <w:t xml:space="preserve">The failure of social legislation to alleviate pressures on families forces new generations to adapt resulting in individualized social nets to form at an advanced rate. While this can be economically beneficial by eliminating financial dependence on others, phenomena like the single mother epidemic and the rise of less conventional blended families present their own instabilities. It would be a disservice of governance to supplement these situations without first addressing the systemic roots of unideal living situations. True reform requires legislation that strengthens the social foundations of family life. This can be achieved by focussing on wage inequality, affordable childcare, and accessible housing (the Blackrock problem) rather than policies that merely treat the symptoms of deeper structural imbalance. Without this shift, future generations will continue to bear the private costs of public inaction, mistaking adaptation for progress. Social change is slow so in the year 2035 the differences from 2025 are going to be negligible even if federal mandates are created today the process of trickling into the social consciousness will not be completed.</w:t>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jc w:val="center"/>
        <w:rPr>
          <w:u w:val="single"/>
        </w:rPr>
      </w:pPr>
      <w:r w:rsidDel="00000000" w:rsidR="00000000" w:rsidRPr="00000000">
        <w:rPr>
          <w:u w:val="single"/>
          <w:rtl w:val="0"/>
        </w:rPr>
        <w:t xml:space="preserve">References</w:t>
      </w:r>
    </w:p>
    <w:p w:rsidR="00000000" w:rsidDel="00000000" w:rsidP="00000000" w:rsidRDefault="00000000" w:rsidRPr="00000000" w14:paraId="00000017">
      <w:pPr>
        <w:numPr>
          <w:ilvl w:val="0"/>
          <w:numId w:val="1"/>
        </w:numPr>
        <w:spacing w:line="480" w:lineRule="auto"/>
        <w:ind w:left="720" w:hanging="360"/>
        <w:rPr>
          <w:u w:val="none"/>
        </w:rPr>
      </w:pPr>
      <w:r w:rsidDel="00000000" w:rsidR="00000000" w:rsidRPr="00000000">
        <w:rPr>
          <w:rtl w:val="0"/>
        </w:rPr>
        <w:t xml:space="preserve">Guney, G., Lee, PH., Davies, D. (2022). Conclusion. In: Guney, G., Davies, D., Lee, PH. (eds) Towards Gender Equality in Law. Palgrave Macmillan, Cham. </w:t>
      </w:r>
      <w:hyperlink r:id="rId7">
        <w:r w:rsidDel="00000000" w:rsidR="00000000" w:rsidRPr="00000000">
          <w:rPr>
            <w:color w:val="1155cc"/>
            <w:u w:val="single"/>
            <w:rtl w:val="0"/>
          </w:rPr>
          <w:t xml:space="preserve">https://doi.org/10.1007/978-3-030-98072-6_12</w:t>
        </w:r>
      </w:hyperlink>
      <w:r w:rsidDel="00000000" w:rsidR="00000000" w:rsidRPr="00000000">
        <w:rPr>
          <w:rtl w:val="0"/>
        </w:rPr>
      </w:r>
    </w:p>
    <w:p w:rsidR="00000000" w:rsidDel="00000000" w:rsidP="00000000" w:rsidRDefault="00000000" w:rsidRPr="00000000" w14:paraId="00000018">
      <w:pPr>
        <w:numPr>
          <w:ilvl w:val="0"/>
          <w:numId w:val="1"/>
        </w:numPr>
        <w:spacing w:line="480" w:lineRule="auto"/>
        <w:ind w:left="720" w:hanging="360"/>
        <w:rPr>
          <w:u w:val="none"/>
        </w:rPr>
      </w:pPr>
      <w:r w:rsidDel="00000000" w:rsidR="00000000" w:rsidRPr="00000000">
        <w:rPr>
          <w:rtl w:val="0"/>
        </w:rPr>
        <w:t xml:space="preserve">Milovanovic, D. (2022). Sociology of law. Carolina Academic Press, LLC.</w:t>
      </w:r>
    </w:p>
    <w:p w:rsidR="00000000" w:rsidDel="00000000" w:rsidP="00000000" w:rsidRDefault="00000000" w:rsidRPr="00000000" w14:paraId="00000019">
      <w:pPr>
        <w:numPr>
          <w:ilvl w:val="0"/>
          <w:numId w:val="1"/>
        </w:numPr>
        <w:spacing w:line="480" w:lineRule="auto"/>
        <w:ind w:left="720" w:hanging="360"/>
        <w:rPr>
          <w:u w:val="none"/>
        </w:rPr>
      </w:pPr>
      <w:r w:rsidDel="00000000" w:rsidR="00000000" w:rsidRPr="00000000">
        <w:rPr>
          <w:rtl w:val="0"/>
        </w:rPr>
        <w:t xml:space="preserve">“French parity act”: Republic of france act no. 2000 493 “to promote equal access of women and men to electoral mandates and elective offices.” Pacific Women in Politics. (2024, March 6). </w:t>
      </w:r>
    </w:p>
    <w:p w:rsidR="00000000" w:rsidDel="00000000" w:rsidP="00000000" w:rsidRDefault="00000000" w:rsidRPr="00000000" w14:paraId="0000001A">
      <w:pPr>
        <w:numPr>
          <w:ilvl w:val="0"/>
          <w:numId w:val="1"/>
        </w:numPr>
        <w:spacing w:line="480" w:lineRule="auto"/>
        <w:ind w:left="720" w:hanging="360"/>
        <w:rPr>
          <w:u w:val="none"/>
        </w:rPr>
      </w:pPr>
      <w:r w:rsidDel="00000000" w:rsidR="00000000" w:rsidRPr="00000000">
        <w:rPr>
          <w:rtl w:val="0"/>
        </w:rPr>
        <w:t xml:space="preserve">Work-life balance. Employment, Social Affairs and Inclusion. (n.d.). </w:t>
      </w:r>
    </w:p>
    <w:p w:rsidR="00000000" w:rsidDel="00000000" w:rsidP="00000000" w:rsidRDefault="00000000" w:rsidRPr="00000000" w14:paraId="0000001B">
      <w:pPr>
        <w:numPr>
          <w:ilvl w:val="0"/>
          <w:numId w:val="1"/>
        </w:numPr>
        <w:spacing w:line="480" w:lineRule="auto"/>
        <w:ind w:left="720" w:hanging="360"/>
        <w:rPr>
          <w:u w:val="none"/>
        </w:rPr>
      </w:pPr>
      <w:r w:rsidDel="00000000" w:rsidR="00000000" w:rsidRPr="00000000">
        <w:rPr>
          <w:rtl w:val="0"/>
        </w:rPr>
        <w:t xml:space="preserve">Si. (2025, July 3). Work–life balance. sweden.se. </w:t>
      </w:r>
    </w:p>
    <w:p w:rsidR="00000000" w:rsidDel="00000000" w:rsidP="00000000" w:rsidRDefault="00000000" w:rsidRPr="00000000" w14:paraId="0000001C">
      <w:pPr>
        <w:numPr>
          <w:ilvl w:val="0"/>
          <w:numId w:val="1"/>
        </w:numPr>
        <w:spacing w:line="480" w:lineRule="auto"/>
        <w:ind w:left="720" w:hanging="360"/>
        <w:rPr>
          <w:u w:val="none"/>
        </w:rPr>
      </w:pPr>
      <w:r w:rsidDel="00000000" w:rsidR="00000000" w:rsidRPr="00000000">
        <w:rPr>
          <w:rtl w:val="0"/>
        </w:rPr>
        <w:t xml:space="preserve">Parental benefit and parental leave in Norway | nordic cooperation. (n.d.). https://www.norden.org/en/info-norden/parental-benefit-and-parental-leave-norway</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Kurth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07/978-3-030-98072-6_12"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JljOE+WC8F+72Ck/Kvuoxx4Uw==">CgMxLjA4AHIhMUtyc041UHk4LWcwNC1vdmM2U2QtbnlJZnB3VTJEdUdY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2025-09-07T09:08:00Z</dcterms:created>
  <dc:creator>Kirby Rideout</dc:creator>
</cp:coreProperties>
</file>