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61429A" w14:textId="557B9218" w:rsidR="002933F9" w:rsidRDefault="002933F9" w:rsidP="002933F9">
      <w:pPr>
        <w:jc w:val="center"/>
        <w:rPr>
          <w:rFonts w:ascii="Calibri" w:hAnsi="Calibri"/>
          <w:b/>
          <w:bCs/>
          <w:color w:val="000000"/>
          <w:sz w:val="22"/>
          <w:szCs w:val="22"/>
          <w:shd w:val="clear" w:color="auto" w:fill="FFFFFF"/>
        </w:rPr>
      </w:pPr>
      <w:r>
        <w:rPr>
          <w:rFonts w:ascii="Calibri" w:hAnsi="Calibri"/>
          <w:b/>
          <w:bCs/>
          <w:color w:val="000000"/>
          <w:sz w:val="22"/>
          <w:szCs w:val="22"/>
          <w:shd w:val="clear" w:color="auto" w:fill="FFFFFF"/>
        </w:rPr>
        <w:t>The Difference Between Gender and Sex and How Social Media Impacts Mental Health</w:t>
      </w:r>
    </w:p>
    <w:p w14:paraId="00A0797D" w14:textId="77777777" w:rsidR="002933F9" w:rsidRPr="002933F9" w:rsidRDefault="002933F9" w:rsidP="002933F9">
      <w:pPr>
        <w:jc w:val="center"/>
      </w:pPr>
    </w:p>
    <w:p w14:paraId="7EB3E1BE" w14:textId="77777777" w:rsidR="009D7145" w:rsidRPr="00724C86" w:rsidRDefault="009D7145" w:rsidP="00724C86">
      <w:pPr>
        <w:pStyle w:val="NormalWeb"/>
        <w:spacing w:before="0" w:beforeAutospacing="0" w:after="0" w:afterAutospacing="0" w:line="480" w:lineRule="auto"/>
        <w:ind w:firstLine="720"/>
        <w:rPr>
          <w:rFonts w:asciiTheme="minorHAnsi" w:hAnsiTheme="minorHAnsi" w:cs="Arial"/>
          <w:color w:val="000000" w:themeColor="text1"/>
          <w:sz w:val="22"/>
          <w:szCs w:val="22"/>
        </w:rPr>
      </w:pPr>
      <w:r w:rsidRPr="00724C86">
        <w:rPr>
          <w:rFonts w:asciiTheme="minorHAnsi" w:hAnsiTheme="minorHAnsi" w:cs="Arial"/>
          <w:color w:val="000000" w:themeColor="text1"/>
          <w:sz w:val="22"/>
          <w:szCs w:val="22"/>
        </w:rPr>
        <w:t xml:space="preserve"> When a person feels as though they need to change their gender, it is because they do not feel right in their own body. There is a term for this which is, gender dysphoria. Gender dysphoria is distress </w:t>
      </w:r>
      <w:r w:rsidRPr="00724C86">
        <w:rPr>
          <w:rFonts w:asciiTheme="minorHAnsi" w:hAnsiTheme="minorHAnsi" w:cs="Arial"/>
          <w:color w:val="000000" w:themeColor="text1"/>
          <w:sz w:val="22"/>
          <w:szCs w:val="22"/>
        </w:rPr>
        <w:lastRenderedPageBreak/>
        <w:t>due to a discrepancy between one’s assigned gender and gender identity. Adults who wish to access gender clinics are assessed to ensure they meet the diagnostic criteria for gender dysphoria. Therefore, the definition of gender dysphoria has a significant impact on the lives of individuals who wish to undergo physical gender transition. (Cooper, 2020) Since there is now more help available for people who struggle with gender dysphoria, we see an increase in people coming out to show who they really want to be. With these gender clinics, it makes it easier for people to help get the treatment for their transition, as well as allow people to find their inner peace. These clinics will allow people with gender dysphoria to have a safe place to talk about their insecurities and get on the right track for any necessary medical help. The clinics also support that some people might need a special place for treatment and realize that their gender is not correct with their sex. Gender diversity is not considered a mental health problem. However, transgender people are more likely to experience mental health problems than the general population. (Cooper, 2020) The clinics are not here to try and change how a person feels in their own body, it is for support. It is there to help a person become who they really feel on the inside and be comfortable in their own body. It is to prevent mental health issues and get their journey to transitioning quicker.</w:t>
      </w:r>
    </w:p>
    <w:p w14:paraId="476CACB7" w14:textId="77777777" w:rsidR="009D7145" w:rsidRPr="00724C86" w:rsidRDefault="009D7145" w:rsidP="00724C86">
      <w:pPr>
        <w:pStyle w:val="NormalWeb"/>
        <w:spacing w:before="0" w:beforeAutospacing="0" w:after="0" w:afterAutospacing="0" w:line="480" w:lineRule="auto"/>
        <w:ind w:firstLine="720"/>
        <w:rPr>
          <w:rFonts w:asciiTheme="minorHAnsi" w:hAnsiTheme="minorHAnsi" w:cs="Arial"/>
          <w:color w:val="000000" w:themeColor="text1"/>
          <w:sz w:val="22"/>
          <w:szCs w:val="22"/>
        </w:rPr>
      </w:pPr>
      <w:r w:rsidRPr="00724C86">
        <w:rPr>
          <w:rFonts w:asciiTheme="minorHAnsi" w:hAnsiTheme="minorHAnsi" w:cs="Arial"/>
          <w:color w:val="000000" w:themeColor="text1"/>
          <w:sz w:val="22"/>
          <w:szCs w:val="22"/>
        </w:rPr>
        <w:t xml:space="preserve">Stereotypes exist all over the internet, especially on social media. One bias is gender stereotyping, which refers to the practice of ascribing to an individual woman or man specific attributes, characteristics, or roles by reason only of her or his membership in the social group of women or men. However, gender stereotyping is a complex process that, although based on strong beliefs of what gender is and should be, is understood too simplistically. (Fosch-Villaronga, 2021) Having these stereotypes all over the internet can cause people to have a closed mind about gender and what the correct definition of gender is. As someone fills in their profile information, you come across, “what gender?” and the options are male or female. Fixed into the profile just made will either show more feminine or masculine products to fit that gender. Still, these stereotypes persist online and, as if </w:t>
      </w:r>
      <w:r w:rsidRPr="00724C86">
        <w:rPr>
          <w:rFonts w:asciiTheme="minorHAnsi" w:hAnsiTheme="minorHAnsi" w:cs="Arial"/>
          <w:color w:val="000000" w:themeColor="text1"/>
          <w:sz w:val="22"/>
          <w:szCs w:val="22"/>
        </w:rPr>
        <w:lastRenderedPageBreak/>
        <w:t>platforms failed to understand—or deliberately choose to ignore—that gender is not merely being a ‘man’ or a ‘woman,’ but a social construct. In the words of De Beauvoir, “one is not born, but rather becomes a woman.” (Fosch-Villaronga, 2021) As people grow and learn their own behaviors and choose the gender they desire and feel so drawn to. Society now has to accept this concept and understand that not everyone feels the same about their sex as they do their gender. Since gender identity is primarily subjective and internal, it also clashes with the idea that gender can be recognized automatically, at least with the state of art gender classification systems (GCS). (Fosch-Villaronga, 2021) If someone is walking around dressed like a girl and using feminine mannerisms, it would be hard to tell if they are that sex and vice versa. Once people figure out that their gender is different from their sex, issues arise because some people still can’t wrap their head around the concept that gender is an internal feeling that someone cannot control.      </w:t>
      </w:r>
    </w:p>
    <w:p w14:paraId="16BB31F9" w14:textId="02D0DA54" w:rsidR="009D7145" w:rsidRPr="00724C86" w:rsidRDefault="009D7145" w:rsidP="00724C86">
      <w:pPr>
        <w:pStyle w:val="NormalWeb"/>
        <w:spacing w:before="0" w:beforeAutospacing="0" w:after="0" w:afterAutospacing="0" w:line="480" w:lineRule="auto"/>
        <w:ind w:firstLine="720"/>
        <w:rPr>
          <w:rFonts w:asciiTheme="minorHAnsi" w:hAnsiTheme="minorHAnsi" w:cs="Arial"/>
          <w:color w:val="000000" w:themeColor="text1"/>
          <w:sz w:val="22"/>
          <w:szCs w:val="22"/>
        </w:rPr>
      </w:pPr>
      <w:r w:rsidRPr="00724C86">
        <w:rPr>
          <w:rFonts w:asciiTheme="minorHAnsi" w:hAnsiTheme="minorHAnsi" w:cs="Arial"/>
          <w:color w:val="000000" w:themeColor="text1"/>
          <w:sz w:val="22"/>
          <w:szCs w:val="22"/>
        </w:rPr>
        <w:t xml:space="preserve">Social media can be a harsh place for bullying, especially for people in the LGBTQ community. People who will express themselves freely may be seen as “abnormal” and not set to the social standard. This can affect the mental health of people within the community but also, with the growth of social media, more support is out there. Research suggests that online settings provide sexual and gender minorities with opportunities for exploration with identity presentation and disclosure that the specific affordance of particular settings shapes the experience and the possibilities for development. In addition, research suggests that the experience of online settings varies across subcommunities of gender and sexual minorities, as some online settings can be spaces in which intra-community stigma is enacted or intra-community tensions exacerbated. (Hammock, 2021) Social media is a source of help but also can be a source of hate since there is always two sides of opinions about gender identity. One side supports it and can understand that gender is not a set thing to a person and the other side would be the ones who cannot understand the concept that gender is internal and think they are just “ill.” Once you enter the supportive side of social media, it can create a safe place and become a source of </w:t>
      </w:r>
      <w:r w:rsidRPr="00724C86">
        <w:rPr>
          <w:rFonts w:asciiTheme="minorHAnsi" w:hAnsiTheme="minorHAnsi" w:cs="Arial"/>
          <w:color w:val="000000" w:themeColor="text1"/>
          <w:sz w:val="22"/>
          <w:szCs w:val="22"/>
        </w:rPr>
        <w:lastRenderedPageBreak/>
        <w:t>help. People can also create friends that they never would have known without social media. These and other social media platforms created a new social context for interaction and the formation of communities and subcultures. (Hammock, 2021) With the communities and subcultures, a person with no support in their personal life can now obtain some. Finding people struggling with the same problems to talk and be close with will put down the numbers of mental health issues in transgender people and make them feel security and hope again.</w:t>
      </w:r>
    </w:p>
    <w:p w14:paraId="04758CAE" w14:textId="0610E7F4" w:rsidR="009D7145" w:rsidRPr="00724C86" w:rsidRDefault="009D7145" w:rsidP="00724C86">
      <w:pPr>
        <w:pStyle w:val="NormalWeb"/>
        <w:spacing w:before="0" w:beforeAutospacing="0" w:after="0" w:afterAutospacing="0" w:line="480" w:lineRule="auto"/>
        <w:ind w:firstLine="720"/>
        <w:rPr>
          <w:rFonts w:asciiTheme="minorHAnsi" w:hAnsiTheme="minorHAnsi" w:cs="Arial"/>
          <w:color w:val="000000" w:themeColor="text1"/>
          <w:sz w:val="22"/>
          <w:szCs w:val="22"/>
        </w:rPr>
      </w:pPr>
      <w:r w:rsidRPr="00724C86">
        <w:rPr>
          <w:rFonts w:asciiTheme="minorHAnsi" w:hAnsiTheme="minorHAnsi" w:cs="Arial"/>
          <w:color w:val="000000" w:themeColor="text1"/>
          <w:sz w:val="22"/>
          <w:szCs w:val="22"/>
        </w:rPr>
        <w:t>With all these sources, they all have a common thread among them all. They all support and exchange the idea of gender being an internal feeling that cannot be changed. Dominant social narratives that gender identity and biological sex should align did not fit the transgender person, which resulted in conflict and sadness. This links to the earlier theme of confusion, whereby participants were unsettled by their gender identity not aligning with societal expectations. (Cooper, 2020) </w:t>
      </w:r>
      <w:r w:rsidRPr="00724C86">
        <w:rPr>
          <w:rStyle w:val="Emphasis"/>
          <w:rFonts w:asciiTheme="minorHAnsi" w:hAnsiTheme="minorHAnsi" w:cs="Arial"/>
          <w:color w:val="000000" w:themeColor="text1"/>
          <w:sz w:val="22"/>
          <w:szCs w:val="22"/>
        </w:rPr>
        <w:t>“Sex”</w:t>
      </w:r>
      <w:r w:rsidRPr="00724C86">
        <w:rPr>
          <w:rFonts w:asciiTheme="minorHAnsi" w:hAnsiTheme="minorHAnsi" w:cs="Arial"/>
          <w:color w:val="000000" w:themeColor="text1"/>
          <w:sz w:val="22"/>
          <w:szCs w:val="22"/>
        </w:rPr>
        <w:t> usually refers to the assigned gender at birth based on medical factors (</w:t>
      </w:r>
      <w:proofErr w:type="gramStart"/>
      <w:r w:rsidRPr="00724C86">
        <w:rPr>
          <w:rFonts w:asciiTheme="minorHAnsi" w:hAnsiTheme="minorHAnsi" w:cs="Arial"/>
          <w:color w:val="000000" w:themeColor="text1"/>
          <w:sz w:val="22"/>
          <w:szCs w:val="22"/>
        </w:rPr>
        <w:t>e.g.</w:t>
      </w:r>
      <w:proofErr w:type="gramEnd"/>
      <w:r w:rsidRPr="00724C86">
        <w:rPr>
          <w:rFonts w:asciiTheme="minorHAnsi" w:hAnsiTheme="minorHAnsi" w:cs="Arial"/>
          <w:color w:val="000000" w:themeColor="text1"/>
          <w:sz w:val="22"/>
          <w:szCs w:val="22"/>
        </w:rPr>
        <w:t xml:space="preserve"> genitalia, chromosomes and hormones), usually ‘male’ or ‘female.’ “</w:t>
      </w:r>
      <w:r w:rsidRPr="00724C86">
        <w:rPr>
          <w:rStyle w:val="Emphasis"/>
          <w:rFonts w:asciiTheme="minorHAnsi" w:hAnsiTheme="minorHAnsi" w:cs="Arial"/>
          <w:color w:val="000000" w:themeColor="text1"/>
          <w:sz w:val="22"/>
          <w:szCs w:val="22"/>
        </w:rPr>
        <w:t>Gender”</w:t>
      </w:r>
      <w:r w:rsidRPr="00724C86">
        <w:rPr>
          <w:rFonts w:asciiTheme="minorHAnsi" w:hAnsiTheme="minorHAnsi" w:cs="Arial"/>
          <w:color w:val="000000" w:themeColor="text1"/>
          <w:sz w:val="22"/>
          <w:szCs w:val="22"/>
        </w:rPr>
        <w:t> is both a “person’s internal, deeply held sense of their gender,” also called </w:t>
      </w:r>
      <w:r w:rsidRPr="00724C86">
        <w:rPr>
          <w:rStyle w:val="Emphasis"/>
          <w:rFonts w:asciiTheme="minorHAnsi" w:hAnsiTheme="minorHAnsi" w:cs="Arial"/>
          <w:color w:val="000000" w:themeColor="text1"/>
          <w:sz w:val="22"/>
          <w:szCs w:val="22"/>
        </w:rPr>
        <w:t>gender identity</w:t>
      </w:r>
      <w:r w:rsidRPr="00724C86">
        <w:rPr>
          <w:rFonts w:asciiTheme="minorHAnsi" w:hAnsiTheme="minorHAnsi" w:cs="Arial"/>
          <w:color w:val="000000" w:themeColor="text1"/>
          <w:sz w:val="22"/>
          <w:szCs w:val="22"/>
        </w:rPr>
        <w:t>. —but is also tied to social, cultural and legal factors. (Fosch-Villaronga, 2021) With regard to gender identity, it is increasingly common to distinguish between </w:t>
      </w:r>
      <w:r w:rsidRPr="00724C86">
        <w:rPr>
          <w:rStyle w:val="Emphasis"/>
          <w:rFonts w:asciiTheme="minorHAnsi" w:hAnsiTheme="minorHAnsi" w:cs="Arial"/>
          <w:color w:val="000000" w:themeColor="text1"/>
          <w:sz w:val="22"/>
          <w:szCs w:val="22"/>
        </w:rPr>
        <w:t>cisgender </w:t>
      </w:r>
      <w:r w:rsidRPr="00724C86">
        <w:rPr>
          <w:rFonts w:asciiTheme="minorHAnsi" w:hAnsiTheme="minorHAnsi" w:cs="Arial"/>
          <w:color w:val="000000" w:themeColor="text1"/>
          <w:sz w:val="22"/>
          <w:szCs w:val="22"/>
        </w:rPr>
        <w:t>(i.e., one’s current gender identity matches the sex assigned at birth)</w:t>
      </w:r>
      <w:r w:rsidR="00724C86">
        <w:rPr>
          <w:rFonts w:asciiTheme="minorHAnsi" w:hAnsiTheme="minorHAnsi" w:cs="Arial"/>
          <w:color w:val="000000" w:themeColor="text1"/>
          <w:sz w:val="22"/>
          <w:szCs w:val="22"/>
        </w:rPr>
        <w:t xml:space="preserve"> </w:t>
      </w:r>
      <w:r w:rsidRPr="00724C86">
        <w:rPr>
          <w:rFonts w:asciiTheme="minorHAnsi" w:hAnsiTheme="minorHAnsi" w:cs="Arial"/>
          <w:color w:val="000000" w:themeColor="text1"/>
          <w:sz w:val="22"/>
          <w:szCs w:val="22"/>
        </w:rPr>
        <w:t>and </w:t>
      </w:r>
      <w:r w:rsidRPr="00724C86">
        <w:rPr>
          <w:rStyle w:val="Emphasis"/>
          <w:rFonts w:asciiTheme="minorHAnsi" w:hAnsiTheme="minorHAnsi" w:cs="Arial"/>
          <w:color w:val="000000" w:themeColor="text1"/>
          <w:sz w:val="22"/>
          <w:szCs w:val="22"/>
        </w:rPr>
        <w:t>transgender</w:t>
      </w:r>
      <w:r w:rsidRPr="00724C86">
        <w:rPr>
          <w:rFonts w:asciiTheme="minorHAnsi" w:hAnsiTheme="minorHAnsi" w:cs="Arial"/>
          <w:color w:val="000000" w:themeColor="text1"/>
          <w:sz w:val="22"/>
          <w:szCs w:val="22"/>
        </w:rPr>
        <w:t> identities (i.e., one’s current gender identity is different from the sex assigned at birth.) (Hammock, 2021) These definitions from each article will all relate back to the reading from class “Doing Gender” and how West and Zimmerman had explicitly pointed out the two difference in sex and gender. Pointing these out in each section can support the claim that gender and sex are two very different things and gender can be interchangeable. With people being able to express themselves freely it shows other people that they can too. They can also share their stories through social media to support anyone struggling with coming out and being who they truly wish to be.  </w:t>
      </w:r>
    </w:p>
    <w:p w14:paraId="772B2164" w14:textId="77777777" w:rsidR="009D7145" w:rsidRPr="00724C86" w:rsidRDefault="009D7145" w:rsidP="00724C86">
      <w:pPr>
        <w:pStyle w:val="NormalWeb"/>
        <w:spacing w:before="0" w:beforeAutospacing="0" w:after="0" w:afterAutospacing="0" w:line="480" w:lineRule="auto"/>
        <w:ind w:firstLine="720"/>
        <w:rPr>
          <w:rFonts w:asciiTheme="minorHAnsi" w:hAnsiTheme="minorHAnsi" w:cs="Arial"/>
          <w:color w:val="000000" w:themeColor="text1"/>
          <w:sz w:val="22"/>
          <w:szCs w:val="22"/>
        </w:rPr>
      </w:pPr>
      <w:r w:rsidRPr="00724C86">
        <w:rPr>
          <w:rFonts w:asciiTheme="minorHAnsi" w:hAnsiTheme="minorHAnsi" w:cs="Arial"/>
          <w:color w:val="000000" w:themeColor="text1"/>
          <w:sz w:val="22"/>
          <w:szCs w:val="22"/>
        </w:rPr>
        <w:lastRenderedPageBreak/>
        <w:t>Social media in the mix of all of this is an important factor to if a person has support and their mental health state. There are many support groups through social media that allow people who have gender identity issues to reach out and gain information and support. Social media is also a huge platform that can support transgender people and get the word out that it is not merely a mental issue but a disorder that cannot be “cured.” With platforms being able to get out valid information it can help educate people to the issue, not to try and change them, but understand the concept of gender dysphoria and how it impacts someone’s everyday life. </w:t>
      </w:r>
    </w:p>
    <w:p w14:paraId="2010A90F" w14:textId="77777777" w:rsidR="009D7145" w:rsidRPr="00724C86" w:rsidRDefault="009D7145" w:rsidP="00724C86">
      <w:pPr>
        <w:pStyle w:val="NormalWeb"/>
        <w:spacing w:before="0" w:beforeAutospacing="0" w:after="0" w:afterAutospacing="0" w:line="480" w:lineRule="auto"/>
        <w:ind w:firstLine="720"/>
        <w:rPr>
          <w:rFonts w:asciiTheme="minorHAnsi" w:hAnsiTheme="minorHAnsi" w:cs="Arial"/>
          <w:color w:val="000000" w:themeColor="text1"/>
          <w:sz w:val="22"/>
          <w:szCs w:val="22"/>
        </w:rPr>
      </w:pPr>
      <w:r w:rsidRPr="00724C86">
        <w:rPr>
          <w:rFonts w:asciiTheme="minorHAnsi" w:hAnsiTheme="minorHAnsi" w:cs="Arial"/>
          <w:color w:val="000000" w:themeColor="text1"/>
          <w:sz w:val="22"/>
          <w:szCs w:val="22"/>
        </w:rPr>
        <w:t>In West and Zimmerman’s article “Doing Gender” the main purpose was to inform the readers about the differences in sex and gender. They thoroughly showed this through many examples and facts. They explain the theory that gender roles are learned and enacted by observing people through real life and this can also tie back to social media. Just by using social media each day, you see how people act and what certain genders do through these platforms. The females are usually influencers and then you have the males who work out or are doing more of a comedy thing. There is a very distinct line through male and female roles that can be adapted just by going through everyday life. With the increase of social media and younger generations being exposed earlier people can see an increase in the desire to show who they really are. Social media allows people to express themselves freely and while there can be hate and bullying there is a tremendous amount of support throughout all of the platforms including groups and even a hashtag.  </w:t>
      </w:r>
    </w:p>
    <w:p w14:paraId="3A326689" w14:textId="77777777" w:rsidR="009D7145" w:rsidRPr="00724C86" w:rsidRDefault="009D7145" w:rsidP="00724C86">
      <w:pPr>
        <w:pStyle w:val="NormalWeb"/>
        <w:spacing w:before="0" w:beforeAutospacing="0" w:after="0" w:afterAutospacing="0" w:line="480" w:lineRule="auto"/>
        <w:ind w:firstLine="720"/>
        <w:rPr>
          <w:rFonts w:asciiTheme="minorHAnsi" w:hAnsiTheme="minorHAnsi" w:cs="Arial"/>
          <w:color w:val="000000" w:themeColor="text1"/>
          <w:sz w:val="22"/>
          <w:szCs w:val="22"/>
        </w:rPr>
      </w:pPr>
      <w:r w:rsidRPr="00724C86">
        <w:rPr>
          <w:rFonts w:asciiTheme="minorHAnsi" w:hAnsiTheme="minorHAnsi" w:cs="Arial"/>
          <w:color w:val="000000" w:themeColor="text1"/>
          <w:sz w:val="22"/>
          <w:szCs w:val="22"/>
        </w:rPr>
        <w:t xml:space="preserve">Gender is a trait that can be changed if you feel as though it should be, and social media provides healthy support to anyone second guessing this. This is such a strong topic nowadays because we see that more and more people are coming out and showing who they really feel they are. Without the support of social media, the world may be very different today because not many people would have realized what their feeling is normal, and they should be embracing it and not hiding it. Gender dysphoria is not a mental health issue it is more of a disorder that someone cannot change. Instead of </w:t>
      </w:r>
      <w:r w:rsidRPr="00724C86">
        <w:rPr>
          <w:rFonts w:asciiTheme="minorHAnsi" w:hAnsiTheme="minorHAnsi" w:cs="Arial"/>
          <w:color w:val="000000" w:themeColor="text1"/>
          <w:sz w:val="22"/>
          <w:szCs w:val="22"/>
        </w:rPr>
        <w:lastRenderedPageBreak/>
        <w:t>hiding it people should embrace it so that anyone feeling the same way as them can see it and be their true self.</w:t>
      </w:r>
    </w:p>
    <w:p w14:paraId="3A94778D" w14:textId="77777777" w:rsidR="009D7145" w:rsidRPr="00724C86" w:rsidRDefault="009D7145" w:rsidP="00724C86">
      <w:pPr>
        <w:shd w:val="clear" w:color="auto" w:fill="FFFFFF"/>
        <w:spacing w:line="480" w:lineRule="auto"/>
        <w:rPr>
          <w:rFonts w:asciiTheme="minorHAnsi" w:hAnsiTheme="minorHAnsi" w:cs="Arial"/>
          <w:color w:val="000000" w:themeColor="text1"/>
          <w:sz w:val="22"/>
          <w:szCs w:val="22"/>
        </w:rPr>
      </w:pPr>
    </w:p>
    <w:p w14:paraId="0E559762" w14:textId="77777777" w:rsidR="00174B91" w:rsidRPr="00724C86" w:rsidRDefault="00174B91" w:rsidP="00724C86">
      <w:pPr>
        <w:spacing w:line="480" w:lineRule="auto"/>
        <w:rPr>
          <w:rFonts w:asciiTheme="minorHAnsi" w:hAnsiTheme="minorHAnsi"/>
          <w:color w:val="000000" w:themeColor="text1"/>
          <w:sz w:val="22"/>
          <w:szCs w:val="22"/>
        </w:rPr>
      </w:pPr>
    </w:p>
    <w:p w14:paraId="0C1C5946" w14:textId="77777777" w:rsidR="00EB6E20" w:rsidRPr="00724C86" w:rsidRDefault="00EB6E20" w:rsidP="00724C86">
      <w:pPr>
        <w:spacing w:line="480" w:lineRule="auto"/>
        <w:rPr>
          <w:rFonts w:asciiTheme="minorHAnsi" w:hAnsiTheme="minorHAnsi"/>
          <w:color w:val="000000" w:themeColor="text1"/>
          <w:sz w:val="22"/>
          <w:szCs w:val="22"/>
        </w:rPr>
      </w:pPr>
    </w:p>
    <w:p w14:paraId="481EEAFD" w14:textId="7C75229B" w:rsidR="00D17366" w:rsidRPr="00724C86" w:rsidRDefault="00D17366" w:rsidP="00724C86">
      <w:pPr>
        <w:spacing w:line="480" w:lineRule="auto"/>
        <w:rPr>
          <w:rFonts w:asciiTheme="minorHAnsi" w:hAnsiTheme="minorHAnsi"/>
          <w:color w:val="000000" w:themeColor="text1"/>
          <w:sz w:val="22"/>
          <w:szCs w:val="22"/>
        </w:rPr>
      </w:pPr>
    </w:p>
    <w:p w14:paraId="34BD9689" w14:textId="6844D3EB" w:rsidR="00CD420C" w:rsidRPr="00724C86" w:rsidRDefault="00CD420C" w:rsidP="00724C86">
      <w:pPr>
        <w:spacing w:line="480" w:lineRule="auto"/>
        <w:rPr>
          <w:rFonts w:asciiTheme="minorHAnsi" w:hAnsiTheme="minorHAnsi"/>
          <w:color w:val="000000" w:themeColor="text1"/>
          <w:sz w:val="22"/>
          <w:szCs w:val="22"/>
        </w:rPr>
      </w:pPr>
    </w:p>
    <w:p w14:paraId="3382C985" w14:textId="3B79C36A" w:rsidR="00CD420C" w:rsidRPr="00724C86" w:rsidRDefault="00CD420C" w:rsidP="00724C86">
      <w:pPr>
        <w:spacing w:line="480" w:lineRule="auto"/>
        <w:rPr>
          <w:rFonts w:asciiTheme="minorHAnsi" w:hAnsiTheme="minorHAnsi"/>
          <w:color w:val="000000" w:themeColor="text1"/>
          <w:sz w:val="22"/>
          <w:szCs w:val="22"/>
        </w:rPr>
      </w:pPr>
    </w:p>
    <w:p w14:paraId="494A9A04" w14:textId="4E03637E" w:rsidR="00CD420C" w:rsidRPr="00724C86" w:rsidRDefault="00CD420C" w:rsidP="00724C86">
      <w:pPr>
        <w:spacing w:line="480" w:lineRule="auto"/>
        <w:rPr>
          <w:rFonts w:asciiTheme="minorHAnsi" w:hAnsiTheme="minorHAnsi"/>
          <w:color w:val="000000" w:themeColor="text1"/>
          <w:sz w:val="22"/>
          <w:szCs w:val="22"/>
        </w:rPr>
      </w:pPr>
    </w:p>
    <w:p w14:paraId="730CC305" w14:textId="4BA28662" w:rsidR="00CD420C" w:rsidRPr="00724C86" w:rsidRDefault="00CD420C" w:rsidP="00724C86">
      <w:pPr>
        <w:spacing w:line="480" w:lineRule="auto"/>
        <w:rPr>
          <w:rFonts w:asciiTheme="minorHAnsi" w:hAnsiTheme="minorHAnsi"/>
          <w:color w:val="000000" w:themeColor="text1"/>
          <w:sz w:val="22"/>
          <w:szCs w:val="22"/>
        </w:rPr>
      </w:pPr>
    </w:p>
    <w:p w14:paraId="350A4946" w14:textId="66A9DCF1" w:rsidR="00CD420C" w:rsidRPr="00724C86" w:rsidRDefault="00CD420C" w:rsidP="00724C86">
      <w:pPr>
        <w:spacing w:line="480" w:lineRule="auto"/>
        <w:rPr>
          <w:rFonts w:asciiTheme="minorHAnsi" w:hAnsiTheme="minorHAnsi" w:cstheme="minorHAnsi"/>
          <w:color w:val="000000" w:themeColor="text1"/>
          <w:sz w:val="22"/>
          <w:szCs w:val="22"/>
        </w:rPr>
      </w:pPr>
    </w:p>
    <w:p w14:paraId="1D8DF394" w14:textId="69C62910" w:rsidR="00CD420C" w:rsidRPr="00724C86" w:rsidRDefault="00CD420C" w:rsidP="00724C86">
      <w:pPr>
        <w:spacing w:line="480" w:lineRule="auto"/>
        <w:rPr>
          <w:rFonts w:asciiTheme="minorHAnsi" w:hAnsiTheme="minorHAnsi" w:cstheme="minorHAnsi"/>
          <w:color w:val="000000" w:themeColor="text1"/>
          <w:sz w:val="22"/>
          <w:szCs w:val="22"/>
        </w:rPr>
      </w:pPr>
    </w:p>
    <w:p w14:paraId="722242C5" w14:textId="2768785A" w:rsidR="00CD420C" w:rsidRPr="00724C86" w:rsidRDefault="00CD420C" w:rsidP="00724C86">
      <w:pPr>
        <w:spacing w:line="480" w:lineRule="auto"/>
        <w:rPr>
          <w:rFonts w:asciiTheme="minorHAnsi" w:hAnsiTheme="minorHAnsi" w:cstheme="minorHAnsi"/>
          <w:color w:val="000000" w:themeColor="text1"/>
          <w:sz w:val="22"/>
          <w:szCs w:val="22"/>
        </w:rPr>
      </w:pPr>
    </w:p>
    <w:p w14:paraId="6DDDE70A" w14:textId="74F55C5F" w:rsidR="00CD420C" w:rsidRPr="00724C86" w:rsidRDefault="00CD420C" w:rsidP="00724C86">
      <w:pPr>
        <w:spacing w:line="480" w:lineRule="auto"/>
        <w:rPr>
          <w:rFonts w:asciiTheme="minorHAnsi" w:hAnsiTheme="minorHAnsi" w:cstheme="minorHAnsi"/>
          <w:color w:val="000000" w:themeColor="text1"/>
          <w:sz w:val="22"/>
          <w:szCs w:val="22"/>
        </w:rPr>
      </w:pPr>
    </w:p>
    <w:p w14:paraId="03E59E87" w14:textId="1AFF57D1" w:rsidR="00CD420C" w:rsidRPr="00724C86" w:rsidRDefault="00CD420C" w:rsidP="00724C86">
      <w:pPr>
        <w:spacing w:line="480" w:lineRule="auto"/>
        <w:rPr>
          <w:rFonts w:asciiTheme="minorHAnsi" w:hAnsiTheme="minorHAnsi" w:cstheme="minorHAnsi"/>
          <w:color w:val="000000" w:themeColor="text1"/>
          <w:sz w:val="22"/>
          <w:szCs w:val="22"/>
        </w:rPr>
      </w:pPr>
    </w:p>
    <w:p w14:paraId="50D8BE4C" w14:textId="26094D7E" w:rsidR="00CD420C" w:rsidRPr="00724C86" w:rsidRDefault="00CD420C" w:rsidP="00724C86">
      <w:pPr>
        <w:spacing w:line="480" w:lineRule="auto"/>
        <w:rPr>
          <w:rFonts w:asciiTheme="minorHAnsi" w:hAnsiTheme="minorHAnsi" w:cstheme="minorHAnsi"/>
          <w:color w:val="000000" w:themeColor="text1"/>
          <w:sz w:val="22"/>
          <w:szCs w:val="22"/>
        </w:rPr>
      </w:pPr>
    </w:p>
    <w:p w14:paraId="4DEE931E" w14:textId="548ED684" w:rsidR="00CD420C" w:rsidRPr="00724C86" w:rsidRDefault="00CD420C" w:rsidP="00724C86">
      <w:pPr>
        <w:spacing w:line="480" w:lineRule="auto"/>
        <w:rPr>
          <w:rFonts w:asciiTheme="minorHAnsi" w:hAnsiTheme="minorHAnsi" w:cstheme="minorHAnsi"/>
          <w:color w:val="000000" w:themeColor="text1"/>
          <w:sz w:val="22"/>
          <w:szCs w:val="22"/>
        </w:rPr>
      </w:pPr>
    </w:p>
    <w:p w14:paraId="06C86005" w14:textId="50186008" w:rsidR="00CD420C" w:rsidRPr="00724C86" w:rsidRDefault="00CD420C" w:rsidP="00724C86">
      <w:pPr>
        <w:spacing w:line="480" w:lineRule="auto"/>
        <w:rPr>
          <w:rFonts w:asciiTheme="minorHAnsi" w:hAnsiTheme="minorHAnsi" w:cstheme="minorHAnsi"/>
          <w:color w:val="000000" w:themeColor="text1"/>
          <w:sz w:val="22"/>
          <w:szCs w:val="22"/>
        </w:rPr>
      </w:pPr>
    </w:p>
    <w:p w14:paraId="5228DFEF" w14:textId="0523A32D" w:rsidR="00CD420C" w:rsidRPr="00724C86" w:rsidRDefault="00CD420C" w:rsidP="00724C86">
      <w:pPr>
        <w:spacing w:line="480" w:lineRule="auto"/>
        <w:rPr>
          <w:rFonts w:asciiTheme="minorHAnsi" w:hAnsiTheme="minorHAnsi" w:cstheme="minorHAnsi"/>
          <w:color w:val="000000" w:themeColor="text1"/>
          <w:sz w:val="22"/>
          <w:szCs w:val="22"/>
        </w:rPr>
      </w:pPr>
    </w:p>
    <w:p w14:paraId="4337B689" w14:textId="4B6280A8" w:rsidR="00CD420C" w:rsidRPr="00724C86" w:rsidRDefault="00CD420C" w:rsidP="00724C86">
      <w:pPr>
        <w:spacing w:line="480" w:lineRule="auto"/>
        <w:rPr>
          <w:rFonts w:asciiTheme="minorHAnsi" w:hAnsiTheme="minorHAnsi" w:cstheme="minorHAnsi"/>
          <w:color w:val="000000" w:themeColor="text1"/>
          <w:sz w:val="22"/>
          <w:szCs w:val="22"/>
        </w:rPr>
      </w:pPr>
    </w:p>
    <w:p w14:paraId="4187A804" w14:textId="63CD1CC5" w:rsidR="00CD420C" w:rsidRPr="00724C86" w:rsidRDefault="00CD420C" w:rsidP="00724C86">
      <w:pPr>
        <w:spacing w:line="480" w:lineRule="auto"/>
        <w:rPr>
          <w:rFonts w:asciiTheme="minorHAnsi" w:hAnsiTheme="minorHAnsi" w:cstheme="minorHAnsi"/>
          <w:color w:val="000000" w:themeColor="text1"/>
          <w:sz w:val="22"/>
          <w:szCs w:val="22"/>
        </w:rPr>
      </w:pPr>
    </w:p>
    <w:p w14:paraId="4ED594FF" w14:textId="77777777" w:rsidR="00C668B3" w:rsidRDefault="00C668B3" w:rsidP="0071279B">
      <w:pPr>
        <w:spacing w:line="480" w:lineRule="auto"/>
        <w:rPr>
          <w:rFonts w:asciiTheme="minorHAnsi" w:hAnsiTheme="minorHAnsi" w:cstheme="minorHAnsi"/>
          <w:color w:val="000000" w:themeColor="text1"/>
          <w:sz w:val="22"/>
          <w:szCs w:val="22"/>
        </w:rPr>
      </w:pPr>
    </w:p>
    <w:p w14:paraId="625549DF" w14:textId="7186303E" w:rsidR="00CD420C" w:rsidRDefault="00CD420C" w:rsidP="00C668B3">
      <w:pPr>
        <w:spacing w:line="480" w:lineRule="auto"/>
        <w:rPr>
          <w:rFonts w:asciiTheme="minorHAnsi" w:hAnsiTheme="minorHAnsi" w:cstheme="minorHAnsi"/>
          <w:color w:val="000000" w:themeColor="text1"/>
          <w:sz w:val="22"/>
          <w:szCs w:val="22"/>
        </w:rPr>
      </w:pPr>
    </w:p>
    <w:p w14:paraId="268A6F8B" w14:textId="77777777" w:rsidR="00724C86" w:rsidRPr="00C668B3" w:rsidRDefault="00724C86" w:rsidP="00C668B3">
      <w:pPr>
        <w:spacing w:line="480" w:lineRule="auto"/>
        <w:rPr>
          <w:rFonts w:asciiTheme="minorHAnsi" w:hAnsiTheme="minorHAnsi" w:cstheme="minorHAnsi"/>
          <w:color w:val="000000" w:themeColor="text1"/>
          <w:sz w:val="22"/>
          <w:szCs w:val="22"/>
        </w:rPr>
      </w:pPr>
    </w:p>
    <w:p w14:paraId="6B41A2A6" w14:textId="1ACC03A7" w:rsidR="002B56E8" w:rsidRPr="00C668B3" w:rsidRDefault="00E95518" w:rsidP="00C668B3">
      <w:pPr>
        <w:spacing w:line="480" w:lineRule="auto"/>
        <w:jc w:val="center"/>
        <w:rPr>
          <w:rFonts w:asciiTheme="minorHAnsi" w:hAnsiTheme="minorHAnsi" w:cstheme="minorHAnsi"/>
          <w:color w:val="000000" w:themeColor="text1"/>
          <w:sz w:val="22"/>
          <w:szCs w:val="22"/>
        </w:rPr>
      </w:pPr>
      <w:r w:rsidRPr="00C668B3">
        <w:rPr>
          <w:rFonts w:asciiTheme="minorHAnsi" w:hAnsiTheme="minorHAnsi" w:cstheme="minorHAnsi"/>
          <w:color w:val="000000" w:themeColor="text1"/>
          <w:sz w:val="22"/>
          <w:szCs w:val="22"/>
        </w:rPr>
        <w:lastRenderedPageBreak/>
        <w:t>Work cited</w:t>
      </w:r>
    </w:p>
    <w:p w14:paraId="3D4B2DE4" w14:textId="72C1D5E6" w:rsidR="00BC14E9" w:rsidRPr="00C668B3" w:rsidRDefault="00BC14E9" w:rsidP="00A157B0">
      <w:pPr>
        <w:pStyle w:val="NormalWeb"/>
        <w:spacing w:line="480" w:lineRule="auto"/>
        <w:ind w:left="567" w:hanging="567"/>
        <w:jc w:val="center"/>
        <w:rPr>
          <w:rFonts w:asciiTheme="minorHAnsi" w:hAnsiTheme="minorHAnsi" w:cstheme="minorHAnsi"/>
          <w:color w:val="000000" w:themeColor="text1"/>
          <w:sz w:val="22"/>
          <w:szCs w:val="22"/>
        </w:rPr>
      </w:pPr>
      <w:r w:rsidRPr="00C668B3">
        <w:rPr>
          <w:rFonts w:asciiTheme="minorHAnsi" w:hAnsiTheme="minorHAnsi" w:cstheme="minorHAnsi"/>
          <w:color w:val="000000" w:themeColor="text1"/>
          <w:sz w:val="22"/>
          <w:szCs w:val="22"/>
        </w:rPr>
        <w:t xml:space="preserve">Cooper, K., Russell, A., Mandy, W., &amp; Butler, C. (2020). The phenomenology of gender dysphoria in adults: A systematic review and meta-synthesis. </w:t>
      </w:r>
      <w:r w:rsidRPr="00C668B3">
        <w:rPr>
          <w:rFonts w:asciiTheme="minorHAnsi" w:hAnsiTheme="minorHAnsi" w:cstheme="minorHAnsi"/>
          <w:i/>
          <w:iCs/>
          <w:color w:val="000000" w:themeColor="text1"/>
          <w:sz w:val="22"/>
          <w:szCs w:val="22"/>
        </w:rPr>
        <w:t>Clinical Psychology Review</w:t>
      </w:r>
      <w:r w:rsidRPr="00C668B3">
        <w:rPr>
          <w:rFonts w:asciiTheme="minorHAnsi" w:hAnsiTheme="minorHAnsi" w:cstheme="minorHAnsi"/>
          <w:color w:val="000000" w:themeColor="text1"/>
          <w:sz w:val="22"/>
          <w:szCs w:val="22"/>
        </w:rPr>
        <w:t xml:space="preserve">, </w:t>
      </w:r>
      <w:r w:rsidRPr="00C668B3">
        <w:rPr>
          <w:rFonts w:asciiTheme="minorHAnsi" w:hAnsiTheme="minorHAnsi" w:cstheme="minorHAnsi"/>
          <w:i/>
          <w:iCs/>
          <w:color w:val="000000" w:themeColor="text1"/>
          <w:sz w:val="22"/>
          <w:szCs w:val="22"/>
        </w:rPr>
        <w:t>80</w:t>
      </w:r>
      <w:r w:rsidRPr="00C668B3">
        <w:rPr>
          <w:rFonts w:asciiTheme="minorHAnsi" w:hAnsiTheme="minorHAnsi" w:cstheme="minorHAnsi"/>
          <w:color w:val="000000" w:themeColor="text1"/>
          <w:sz w:val="22"/>
          <w:szCs w:val="22"/>
        </w:rPr>
        <w:t>, 101875. https://doi.org/10.1016/j.cpr.2020.101875</w:t>
      </w:r>
    </w:p>
    <w:p w14:paraId="54CB17A9" w14:textId="1137BB8A" w:rsidR="006D35CE" w:rsidRPr="00C668B3" w:rsidRDefault="006D35CE" w:rsidP="00A157B0">
      <w:pPr>
        <w:pStyle w:val="NormalWeb"/>
        <w:spacing w:line="480" w:lineRule="auto"/>
        <w:ind w:left="567" w:hanging="567"/>
        <w:jc w:val="center"/>
        <w:rPr>
          <w:rFonts w:asciiTheme="minorHAnsi" w:hAnsiTheme="minorHAnsi" w:cstheme="minorHAnsi"/>
          <w:color w:val="000000" w:themeColor="text1"/>
          <w:sz w:val="22"/>
          <w:szCs w:val="22"/>
        </w:rPr>
      </w:pPr>
      <w:r w:rsidRPr="00C668B3">
        <w:rPr>
          <w:rFonts w:asciiTheme="minorHAnsi" w:hAnsiTheme="minorHAnsi" w:cstheme="minorHAnsi"/>
          <w:color w:val="000000" w:themeColor="text1"/>
          <w:sz w:val="22"/>
          <w:szCs w:val="22"/>
        </w:rPr>
        <w:t xml:space="preserve">Fosch-Villaronga, E., Poulsen, A., Søraa, R. A., &amp; Custers, B. H. M. (2021). A little bird told me your gender: Gender inferences in social media. </w:t>
      </w:r>
      <w:r w:rsidRPr="00C668B3">
        <w:rPr>
          <w:rFonts w:asciiTheme="minorHAnsi" w:hAnsiTheme="minorHAnsi" w:cstheme="minorHAnsi"/>
          <w:i/>
          <w:iCs/>
          <w:color w:val="000000" w:themeColor="text1"/>
          <w:sz w:val="22"/>
          <w:szCs w:val="22"/>
        </w:rPr>
        <w:t>Information Processing &amp; Management</w:t>
      </w:r>
      <w:r w:rsidRPr="00C668B3">
        <w:rPr>
          <w:rFonts w:asciiTheme="minorHAnsi" w:hAnsiTheme="minorHAnsi" w:cstheme="minorHAnsi"/>
          <w:color w:val="000000" w:themeColor="text1"/>
          <w:sz w:val="22"/>
          <w:szCs w:val="22"/>
        </w:rPr>
        <w:t xml:space="preserve">, </w:t>
      </w:r>
      <w:r w:rsidRPr="00C668B3">
        <w:rPr>
          <w:rFonts w:asciiTheme="minorHAnsi" w:hAnsiTheme="minorHAnsi" w:cstheme="minorHAnsi"/>
          <w:i/>
          <w:iCs/>
          <w:color w:val="000000" w:themeColor="text1"/>
          <w:sz w:val="22"/>
          <w:szCs w:val="22"/>
        </w:rPr>
        <w:t>58</w:t>
      </w:r>
      <w:r w:rsidRPr="00C668B3">
        <w:rPr>
          <w:rFonts w:asciiTheme="minorHAnsi" w:hAnsiTheme="minorHAnsi" w:cstheme="minorHAnsi"/>
          <w:color w:val="000000" w:themeColor="text1"/>
          <w:sz w:val="22"/>
          <w:szCs w:val="22"/>
        </w:rPr>
        <w:t>(3), 102541. https://doi.org/10.1016/j.ipm.2021.102541</w:t>
      </w:r>
    </w:p>
    <w:p w14:paraId="5335599B" w14:textId="22224EAA" w:rsidR="00073A6B" w:rsidRPr="00C668B3" w:rsidRDefault="00073A6B" w:rsidP="00A157B0">
      <w:pPr>
        <w:pStyle w:val="NormalWeb"/>
        <w:spacing w:line="480" w:lineRule="auto"/>
        <w:ind w:left="567" w:hanging="567"/>
        <w:jc w:val="center"/>
        <w:rPr>
          <w:rFonts w:asciiTheme="minorHAnsi" w:hAnsiTheme="minorHAnsi" w:cstheme="minorHAnsi"/>
          <w:color w:val="000000" w:themeColor="text1"/>
          <w:sz w:val="22"/>
          <w:szCs w:val="22"/>
        </w:rPr>
      </w:pPr>
      <w:r w:rsidRPr="00C668B3">
        <w:rPr>
          <w:rFonts w:asciiTheme="minorHAnsi" w:hAnsiTheme="minorHAnsi" w:cstheme="minorHAnsi"/>
          <w:color w:val="000000" w:themeColor="text1"/>
          <w:sz w:val="22"/>
          <w:szCs w:val="22"/>
        </w:rPr>
        <w:t xml:space="preserve">Hammack, P. L., Hughes, S. D., Atwood, J. M., Cohen, E. M., &amp; Clark, R. C. (2021). Gender and Sexual Identity in Adolescence: A Mixed-Methods Study of Labeling in Diverse Community Settings. </w:t>
      </w:r>
      <w:r w:rsidRPr="00C668B3">
        <w:rPr>
          <w:rFonts w:asciiTheme="minorHAnsi" w:hAnsiTheme="minorHAnsi" w:cstheme="minorHAnsi"/>
          <w:i/>
          <w:iCs/>
          <w:color w:val="000000" w:themeColor="text1"/>
          <w:sz w:val="22"/>
          <w:szCs w:val="22"/>
        </w:rPr>
        <w:t>Journal of Adolescent Research</w:t>
      </w:r>
      <w:r w:rsidRPr="00C668B3">
        <w:rPr>
          <w:rFonts w:asciiTheme="minorHAnsi" w:hAnsiTheme="minorHAnsi" w:cstheme="minorHAnsi"/>
          <w:color w:val="000000" w:themeColor="text1"/>
          <w:sz w:val="22"/>
          <w:szCs w:val="22"/>
        </w:rPr>
        <w:t>, 074355842110003. https://doi.org/10.1177/07435584211000315</w:t>
      </w:r>
    </w:p>
    <w:p w14:paraId="50B304B7" w14:textId="6529D81B" w:rsidR="006D35CE" w:rsidRPr="0071279B" w:rsidRDefault="006D35CE" w:rsidP="0071279B">
      <w:pPr>
        <w:spacing w:line="480" w:lineRule="auto"/>
        <w:rPr>
          <w:rFonts w:asciiTheme="minorHAnsi" w:hAnsiTheme="minorHAnsi" w:cstheme="minorHAnsi"/>
          <w:color w:val="000000" w:themeColor="text1"/>
          <w:sz w:val="22"/>
          <w:szCs w:val="22"/>
        </w:rPr>
      </w:pPr>
    </w:p>
    <w:sectPr w:rsidR="006D35CE" w:rsidRPr="0071279B">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1F1"/>
    <w:rsid w:val="000112C6"/>
    <w:rsid w:val="000435A7"/>
    <w:rsid w:val="000568BB"/>
    <w:rsid w:val="00073A6B"/>
    <w:rsid w:val="0007638D"/>
    <w:rsid w:val="00077041"/>
    <w:rsid w:val="000818A4"/>
    <w:rsid w:val="00094AD9"/>
    <w:rsid w:val="000A565D"/>
    <w:rsid w:val="000D1CDA"/>
    <w:rsid w:val="000D582D"/>
    <w:rsid w:val="000F62E0"/>
    <w:rsid w:val="00112F14"/>
    <w:rsid w:val="0012152B"/>
    <w:rsid w:val="00131024"/>
    <w:rsid w:val="00146BF4"/>
    <w:rsid w:val="00150A09"/>
    <w:rsid w:val="00174B91"/>
    <w:rsid w:val="001B42BB"/>
    <w:rsid w:val="001C18EB"/>
    <w:rsid w:val="001C5B6A"/>
    <w:rsid w:val="001C71F1"/>
    <w:rsid w:val="001D3606"/>
    <w:rsid w:val="001D496A"/>
    <w:rsid w:val="001E53EE"/>
    <w:rsid w:val="001F4B35"/>
    <w:rsid w:val="00201631"/>
    <w:rsid w:val="00210BF2"/>
    <w:rsid w:val="00212B42"/>
    <w:rsid w:val="00215B49"/>
    <w:rsid w:val="0023209D"/>
    <w:rsid w:val="00234EBC"/>
    <w:rsid w:val="00240715"/>
    <w:rsid w:val="00241D98"/>
    <w:rsid w:val="00242F6C"/>
    <w:rsid w:val="00245924"/>
    <w:rsid w:val="00270C10"/>
    <w:rsid w:val="00270E87"/>
    <w:rsid w:val="002810A8"/>
    <w:rsid w:val="002874BE"/>
    <w:rsid w:val="002933F9"/>
    <w:rsid w:val="002975DD"/>
    <w:rsid w:val="0029771F"/>
    <w:rsid w:val="002B56E8"/>
    <w:rsid w:val="00304FF0"/>
    <w:rsid w:val="00305EB7"/>
    <w:rsid w:val="00310CA6"/>
    <w:rsid w:val="00310D96"/>
    <w:rsid w:val="003368B4"/>
    <w:rsid w:val="003842B8"/>
    <w:rsid w:val="00392206"/>
    <w:rsid w:val="0039435D"/>
    <w:rsid w:val="003A1C36"/>
    <w:rsid w:val="003D4C7C"/>
    <w:rsid w:val="00417127"/>
    <w:rsid w:val="004212AE"/>
    <w:rsid w:val="004368CD"/>
    <w:rsid w:val="00472CD8"/>
    <w:rsid w:val="00493842"/>
    <w:rsid w:val="00494BD1"/>
    <w:rsid w:val="004C003D"/>
    <w:rsid w:val="004D2649"/>
    <w:rsid w:val="004D6536"/>
    <w:rsid w:val="004E1E7B"/>
    <w:rsid w:val="00504E76"/>
    <w:rsid w:val="00506281"/>
    <w:rsid w:val="0050791D"/>
    <w:rsid w:val="00516AE5"/>
    <w:rsid w:val="0055166A"/>
    <w:rsid w:val="005736EE"/>
    <w:rsid w:val="005C3A96"/>
    <w:rsid w:val="005E2D87"/>
    <w:rsid w:val="005F1337"/>
    <w:rsid w:val="0060175B"/>
    <w:rsid w:val="00613D4B"/>
    <w:rsid w:val="006173E3"/>
    <w:rsid w:val="006554F9"/>
    <w:rsid w:val="006561A6"/>
    <w:rsid w:val="00662359"/>
    <w:rsid w:val="006666A6"/>
    <w:rsid w:val="00670884"/>
    <w:rsid w:val="00691318"/>
    <w:rsid w:val="00692AD8"/>
    <w:rsid w:val="006A05B8"/>
    <w:rsid w:val="006A693C"/>
    <w:rsid w:val="006C463F"/>
    <w:rsid w:val="006D18EC"/>
    <w:rsid w:val="006D35CE"/>
    <w:rsid w:val="006F268C"/>
    <w:rsid w:val="006F2A02"/>
    <w:rsid w:val="006F4335"/>
    <w:rsid w:val="0071279B"/>
    <w:rsid w:val="00724C86"/>
    <w:rsid w:val="00725718"/>
    <w:rsid w:val="00725AC5"/>
    <w:rsid w:val="0073404A"/>
    <w:rsid w:val="007418E3"/>
    <w:rsid w:val="00744B21"/>
    <w:rsid w:val="00746DB6"/>
    <w:rsid w:val="00753FD9"/>
    <w:rsid w:val="00763B65"/>
    <w:rsid w:val="00767701"/>
    <w:rsid w:val="00771064"/>
    <w:rsid w:val="007822BB"/>
    <w:rsid w:val="00785898"/>
    <w:rsid w:val="007908F8"/>
    <w:rsid w:val="0079123B"/>
    <w:rsid w:val="007937B3"/>
    <w:rsid w:val="00795C30"/>
    <w:rsid w:val="007A22A5"/>
    <w:rsid w:val="007A3879"/>
    <w:rsid w:val="007C70AB"/>
    <w:rsid w:val="007C7900"/>
    <w:rsid w:val="007E068B"/>
    <w:rsid w:val="007E6FED"/>
    <w:rsid w:val="00800AC0"/>
    <w:rsid w:val="00801EEC"/>
    <w:rsid w:val="00817654"/>
    <w:rsid w:val="00841C9A"/>
    <w:rsid w:val="00856103"/>
    <w:rsid w:val="00870B94"/>
    <w:rsid w:val="008A30C3"/>
    <w:rsid w:val="008A5003"/>
    <w:rsid w:val="008C731A"/>
    <w:rsid w:val="008D12FB"/>
    <w:rsid w:val="008E22DC"/>
    <w:rsid w:val="008E5798"/>
    <w:rsid w:val="009062FA"/>
    <w:rsid w:val="0091389B"/>
    <w:rsid w:val="0092227B"/>
    <w:rsid w:val="009260FD"/>
    <w:rsid w:val="00927114"/>
    <w:rsid w:val="00942B0A"/>
    <w:rsid w:val="00981CA9"/>
    <w:rsid w:val="00983481"/>
    <w:rsid w:val="00985DE6"/>
    <w:rsid w:val="009A31D1"/>
    <w:rsid w:val="009B2A43"/>
    <w:rsid w:val="009D7145"/>
    <w:rsid w:val="009D7CBA"/>
    <w:rsid w:val="00A002EE"/>
    <w:rsid w:val="00A157B0"/>
    <w:rsid w:val="00A1644C"/>
    <w:rsid w:val="00A17398"/>
    <w:rsid w:val="00A30181"/>
    <w:rsid w:val="00A37BC8"/>
    <w:rsid w:val="00A37C43"/>
    <w:rsid w:val="00A44B29"/>
    <w:rsid w:val="00A621F0"/>
    <w:rsid w:val="00A71292"/>
    <w:rsid w:val="00A85BD0"/>
    <w:rsid w:val="00A94226"/>
    <w:rsid w:val="00AB3994"/>
    <w:rsid w:val="00AC1CF6"/>
    <w:rsid w:val="00AE0671"/>
    <w:rsid w:val="00AE3F21"/>
    <w:rsid w:val="00AF4E2C"/>
    <w:rsid w:val="00B14E64"/>
    <w:rsid w:val="00B3414A"/>
    <w:rsid w:val="00B55F58"/>
    <w:rsid w:val="00BA16DF"/>
    <w:rsid w:val="00BB02AC"/>
    <w:rsid w:val="00BC14E9"/>
    <w:rsid w:val="00BE733E"/>
    <w:rsid w:val="00C02CFA"/>
    <w:rsid w:val="00C4349C"/>
    <w:rsid w:val="00C52AE9"/>
    <w:rsid w:val="00C547E7"/>
    <w:rsid w:val="00C668B3"/>
    <w:rsid w:val="00C95003"/>
    <w:rsid w:val="00CC4512"/>
    <w:rsid w:val="00CD0D75"/>
    <w:rsid w:val="00CD420C"/>
    <w:rsid w:val="00CD791C"/>
    <w:rsid w:val="00D029D1"/>
    <w:rsid w:val="00D0538B"/>
    <w:rsid w:val="00D17366"/>
    <w:rsid w:val="00D249E3"/>
    <w:rsid w:val="00D266C4"/>
    <w:rsid w:val="00D37D74"/>
    <w:rsid w:val="00D4619A"/>
    <w:rsid w:val="00D46B9C"/>
    <w:rsid w:val="00D61FD6"/>
    <w:rsid w:val="00D83334"/>
    <w:rsid w:val="00D851C4"/>
    <w:rsid w:val="00D874C5"/>
    <w:rsid w:val="00D87A9A"/>
    <w:rsid w:val="00DF31C6"/>
    <w:rsid w:val="00DF48CF"/>
    <w:rsid w:val="00DF53F1"/>
    <w:rsid w:val="00E0063A"/>
    <w:rsid w:val="00E07A16"/>
    <w:rsid w:val="00E236E5"/>
    <w:rsid w:val="00E36817"/>
    <w:rsid w:val="00E64585"/>
    <w:rsid w:val="00E84342"/>
    <w:rsid w:val="00E95518"/>
    <w:rsid w:val="00EB629B"/>
    <w:rsid w:val="00EB6E20"/>
    <w:rsid w:val="00EC15AA"/>
    <w:rsid w:val="00EC5D8E"/>
    <w:rsid w:val="00ED0CF9"/>
    <w:rsid w:val="00EE5289"/>
    <w:rsid w:val="00EE7B49"/>
    <w:rsid w:val="00F13A68"/>
    <w:rsid w:val="00F170FC"/>
    <w:rsid w:val="00F40740"/>
    <w:rsid w:val="00F54FE8"/>
    <w:rsid w:val="00F60456"/>
    <w:rsid w:val="00F74C06"/>
    <w:rsid w:val="00F804BB"/>
    <w:rsid w:val="00FB1ED2"/>
    <w:rsid w:val="00FB5585"/>
    <w:rsid w:val="00FC3F90"/>
    <w:rsid w:val="00FC65DB"/>
    <w:rsid w:val="00FE5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82AB"/>
  <w15:chartTrackingRefBased/>
  <w15:docId w15:val="{FD75EF7A-DAF1-8A46-AEAF-41A7F38AE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C0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B56E8"/>
    <w:pPr>
      <w:spacing w:before="100" w:beforeAutospacing="1" w:after="100" w:afterAutospacing="1"/>
    </w:pPr>
  </w:style>
  <w:style w:type="character" w:customStyle="1" w:styleId="apple-tab-span">
    <w:name w:val="apple-tab-span"/>
    <w:basedOn w:val="DefaultParagraphFont"/>
    <w:rsid w:val="00DF31C6"/>
  </w:style>
  <w:style w:type="character" w:styleId="Hyperlink">
    <w:name w:val="Hyperlink"/>
    <w:basedOn w:val="DefaultParagraphFont"/>
    <w:uiPriority w:val="99"/>
    <w:semiHidden/>
    <w:unhideWhenUsed/>
    <w:rsid w:val="00D37D74"/>
    <w:rPr>
      <w:color w:val="0000FF"/>
      <w:u w:val="single"/>
    </w:rPr>
  </w:style>
  <w:style w:type="character" w:styleId="FollowedHyperlink">
    <w:name w:val="FollowedHyperlink"/>
    <w:basedOn w:val="DefaultParagraphFont"/>
    <w:uiPriority w:val="99"/>
    <w:semiHidden/>
    <w:unhideWhenUsed/>
    <w:rsid w:val="006561A6"/>
    <w:rPr>
      <w:color w:val="954F72" w:themeColor="followedHyperlink"/>
      <w:u w:val="single"/>
    </w:rPr>
  </w:style>
  <w:style w:type="character" w:styleId="Emphasis">
    <w:name w:val="Emphasis"/>
    <w:basedOn w:val="DefaultParagraphFont"/>
    <w:uiPriority w:val="20"/>
    <w:qFormat/>
    <w:rsid w:val="00242F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604958">
      <w:bodyDiv w:val="1"/>
      <w:marLeft w:val="0"/>
      <w:marRight w:val="0"/>
      <w:marTop w:val="0"/>
      <w:marBottom w:val="0"/>
      <w:divBdr>
        <w:top w:val="none" w:sz="0" w:space="0" w:color="auto"/>
        <w:left w:val="none" w:sz="0" w:space="0" w:color="auto"/>
        <w:bottom w:val="none" w:sz="0" w:space="0" w:color="auto"/>
        <w:right w:val="none" w:sz="0" w:space="0" w:color="auto"/>
      </w:divBdr>
    </w:div>
    <w:div w:id="141895058">
      <w:bodyDiv w:val="1"/>
      <w:marLeft w:val="0"/>
      <w:marRight w:val="0"/>
      <w:marTop w:val="0"/>
      <w:marBottom w:val="0"/>
      <w:divBdr>
        <w:top w:val="none" w:sz="0" w:space="0" w:color="auto"/>
        <w:left w:val="none" w:sz="0" w:space="0" w:color="auto"/>
        <w:bottom w:val="none" w:sz="0" w:space="0" w:color="auto"/>
        <w:right w:val="none" w:sz="0" w:space="0" w:color="auto"/>
      </w:divBdr>
    </w:div>
    <w:div w:id="231812370">
      <w:bodyDiv w:val="1"/>
      <w:marLeft w:val="0"/>
      <w:marRight w:val="0"/>
      <w:marTop w:val="0"/>
      <w:marBottom w:val="0"/>
      <w:divBdr>
        <w:top w:val="none" w:sz="0" w:space="0" w:color="auto"/>
        <w:left w:val="none" w:sz="0" w:space="0" w:color="auto"/>
        <w:bottom w:val="none" w:sz="0" w:space="0" w:color="auto"/>
        <w:right w:val="none" w:sz="0" w:space="0" w:color="auto"/>
      </w:divBdr>
    </w:div>
    <w:div w:id="321859027">
      <w:bodyDiv w:val="1"/>
      <w:marLeft w:val="0"/>
      <w:marRight w:val="0"/>
      <w:marTop w:val="0"/>
      <w:marBottom w:val="0"/>
      <w:divBdr>
        <w:top w:val="none" w:sz="0" w:space="0" w:color="auto"/>
        <w:left w:val="none" w:sz="0" w:space="0" w:color="auto"/>
        <w:bottom w:val="none" w:sz="0" w:space="0" w:color="auto"/>
        <w:right w:val="none" w:sz="0" w:space="0" w:color="auto"/>
      </w:divBdr>
    </w:div>
    <w:div w:id="455637066">
      <w:bodyDiv w:val="1"/>
      <w:marLeft w:val="0"/>
      <w:marRight w:val="0"/>
      <w:marTop w:val="0"/>
      <w:marBottom w:val="0"/>
      <w:divBdr>
        <w:top w:val="none" w:sz="0" w:space="0" w:color="auto"/>
        <w:left w:val="none" w:sz="0" w:space="0" w:color="auto"/>
        <w:bottom w:val="none" w:sz="0" w:space="0" w:color="auto"/>
        <w:right w:val="none" w:sz="0" w:space="0" w:color="auto"/>
      </w:divBdr>
    </w:div>
    <w:div w:id="573583913">
      <w:bodyDiv w:val="1"/>
      <w:marLeft w:val="0"/>
      <w:marRight w:val="0"/>
      <w:marTop w:val="0"/>
      <w:marBottom w:val="0"/>
      <w:divBdr>
        <w:top w:val="none" w:sz="0" w:space="0" w:color="auto"/>
        <w:left w:val="none" w:sz="0" w:space="0" w:color="auto"/>
        <w:bottom w:val="none" w:sz="0" w:space="0" w:color="auto"/>
        <w:right w:val="none" w:sz="0" w:space="0" w:color="auto"/>
      </w:divBdr>
    </w:div>
    <w:div w:id="692993804">
      <w:bodyDiv w:val="1"/>
      <w:marLeft w:val="0"/>
      <w:marRight w:val="0"/>
      <w:marTop w:val="0"/>
      <w:marBottom w:val="0"/>
      <w:divBdr>
        <w:top w:val="none" w:sz="0" w:space="0" w:color="auto"/>
        <w:left w:val="none" w:sz="0" w:space="0" w:color="auto"/>
        <w:bottom w:val="none" w:sz="0" w:space="0" w:color="auto"/>
        <w:right w:val="none" w:sz="0" w:space="0" w:color="auto"/>
      </w:divBdr>
    </w:div>
    <w:div w:id="812336330">
      <w:bodyDiv w:val="1"/>
      <w:marLeft w:val="0"/>
      <w:marRight w:val="0"/>
      <w:marTop w:val="0"/>
      <w:marBottom w:val="0"/>
      <w:divBdr>
        <w:top w:val="none" w:sz="0" w:space="0" w:color="auto"/>
        <w:left w:val="none" w:sz="0" w:space="0" w:color="auto"/>
        <w:bottom w:val="none" w:sz="0" w:space="0" w:color="auto"/>
        <w:right w:val="none" w:sz="0" w:space="0" w:color="auto"/>
      </w:divBdr>
    </w:div>
    <w:div w:id="844785900">
      <w:bodyDiv w:val="1"/>
      <w:marLeft w:val="0"/>
      <w:marRight w:val="0"/>
      <w:marTop w:val="0"/>
      <w:marBottom w:val="0"/>
      <w:divBdr>
        <w:top w:val="none" w:sz="0" w:space="0" w:color="auto"/>
        <w:left w:val="none" w:sz="0" w:space="0" w:color="auto"/>
        <w:bottom w:val="none" w:sz="0" w:space="0" w:color="auto"/>
        <w:right w:val="none" w:sz="0" w:space="0" w:color="auto"/>
      </w:divBdr>
    </w:div>
    <w:div w:id="868373597">
      <w:bodyDiv w:val="1"/>
      <w:marLeft w:val="0"/>
      <w:marRight w:val="0"/>
      <w:marTop w:val="0"/>
      <w:marBottom w:val="0"/>
      <w:divBdr>
        <w:top w:val="none" w:sz="0" w:space="0" w:color="auto"/>
        <w:left w:val="none" w:sz="0" w:space="0" w:color="auto"/>
        <w:bottom w:val="none" w:sz="0" w:space="0" w:color="auto"/>
        <w:right w:val="none" w:sz="0" w:space="0" w:color="auto"/>
      </w:divBdr>
    </w:div>
    <w:div w:id="1360737709">
      <w:bodyDiv w:val="1"/>
      <w:marLeft w:val="0"/>
      <w:marRight w:val="0"/>
      <w:marTop w:val="0"/>
      <w:marBottom w:val="0"/>
      <w:divBdr>
        <w:top w:val="none" w:sz="0" w:space="0" w:color="auto"/>
        <w:left w:val="none" w:sz="0" w:space="0" w:color="auto"/>
        <w:bottom w:val="none" w:sz="0" w:space="0" w:color="auto"/>
        <w:right w:val="none" w:sz="0" w:space="0" w:color="auto"/>
      </w:divBdr>
    </w:div>
    <w:div w:id="1400059533">
      <w:bodyDiv w:val="1"/>
      <w:marLeft w:val="0"/>
      <w:marRight w:val="0"/>
      <w:marTop w:val="0"/>
      <w:marBottom w:val="0"/>
      <w:divBdr>
        <w:top w:val="none" w:sz="0" w:space="0" w:color="auto"/>
        <w:left w:val="none" w:sz="0" w:space="0" w:color="auto"/>
        <w:bottom w:val="none" w:sz="0" w:space="0" w:color="auto"/>
        <w:right w:val="none" w:sz="0" w:space="0" w:color="auto"/>
      </w:divBdr>
    </w:div>
    <w:div w:id="1424063741">
      <w:bodyDiv w:val="1"/>
      <w:marLeft w:val="0"/>
      <w:marRight w:val="0"/>
      <w:marTop w:val="0"/>
      <w:marBottom w:val="0"/>
      <w:divBdr>
        <w:top w:val="none" w:sz="0" w:space="0" w:color="auto"/>
        <w:left w:val="none" w:sz="0" w:space="0" w:color="auto"/>
        <w:bottom w:val="none" w:sz="0" w:space="0" w:color="auto"/>
        <w:right w:val="none" w:sz="0" w:space="0" w:color="auto"/>
      </w:divBdr>
    </w:div>
    <w:div w:id="1452474812">
      <w:bodyDiv w:val="1"/>
      <w:marLeft w:val="0"/>
      <w:marRight w:val="0"/>
      <w:marTop w:val="0"/>
      <w:marBottom w:val="0"/>
      <w:divBdr>
        <w:top w:val="none" w:sz="0" w:space="0" w:color="auto"/>
        <w:left w:val="none" w:sz="0" w:space="0" w:color="auto"/>
        <w:bottom w:val="none" w:sz="0" w:space="0" w:color="auto"/>
        <w:right w:val="none" w:sz="0" w:space="0" w:color="auto"/>
      </w:divBdr>
    </w:div>
    <w:div w:id="1524633432">
      <w:bodyDiv w:val="1"/>
      <w:marLeft w:val="0"/>
      <w:marRight w:val="0"/>
      <w:marTop w:val="0"/>
      <w:marBottom w:val="0"/>
      <w:divBdr>
        <w:top w:val="none" w:sz="0" w:space="0" w:color="auto"/>
        <w:left w:val="none" w:sz="0" w:space="0" w:color="auto"/>
        <w:bottom w:val="none" w:sz="0" w:space="0" w:color="auto"/>
        <w:right w:val="none" w:sz="0" w:space="0" w:color="auto"/>
      </w:divBdr>
    </w:div>
    <w:div w:id="1529294777">
      <w:bodyDiv w:val="1"/>
      <w:marLeft w:val="0"/>
      <w:marRight w:val="0"/>
      <w:marTop w:val="0"/>
      <w:marBottom w:val="0"/>
      <w:divBdr>
        <w:top w:val="none" w:sz="0" w:space="0" w:color="auto"/>
        <w:left w:val="none" w:sz="0" w:space="0" w:color="auto"/>
        <w:bottom w:val="none" w:sz="0" w:space="0" w:color="auto"/>
        <w:right w:val="none" w:sz="0" w:space="0" w:color="auto"/>
      </w:divBdr>
    </w:div>
    <w:div w:id="1556618362">
      <w:bodyDiv w:val="1"/>
      <w:marLeft w:val="0"/>
      <w:marRight w:val="0"/>
      <w:marTop w:val="0"/>
      <w:marBottom w:val="0"/>
      <w:divBdr>
        <w:top w:val="none" w:sz="0" w:space="0" w:color="auto"/>
        <w:left w:val="none" w:sz="0" w:space="0" w:color="auto"/>
        <w:bottom w:val="none" w:sz="0" w:space="0" w:color="auto"/>
        <w:right w:val="none" w:sz="0" w:space="0" w:color="auto"/>
      </w:divBdr>
      <w:divsChild>
        <w:div w:id="1106779086">
          <w:marLeft w:val="0"/>
          <w:marRight w:val="0"/>
          <w:marTop w:val="0"/>
          <w:marBottom w:val="0"/>
          <w:divBdr>
            <w:top w:val="none" w:sz="0" w:space="0" w:color="auto"/>
            <w:left w:val="none" w:sz="0" w:space="0" w:color="auto"/>
            <w:bottom w:val="none" w:sz="0" w:space="0" w:color="auto"/>
            <w:right w:val="none" w:sz="0" w:space="0" w:color="auto"/>
          </w:divBdr>
        </w:div>
        <w:div w:id="850338527">
          <w:marLeft w:val="0"/>
          <w:marRight w:val="0"/>
          <w:marTop w:val="30"/>
          <w:marBottom w:val="0"/>
          <w:divBdr>
            <w:top w:val="none" w:sz="0" w:space="0" w:color="auto"/>
            <w:left w:val="none" w:sz="0" w:space="0" w:color="auto"/>
            <w:bottom w:val="none" w:sz="0" w:space="0" w:color="auto"/>
            <w:right w:val="none" w:sz="0" w:space="0" w:color="auto"/>
          </w:divBdr>
        </w:div>
      </w:divsChild>
    </w:div>
    <w:div w:id="1621719046">
      <w:bodyDiv w:val="1"/>
      <w:marLeft w:val="0"/>
      <w:marRight w:val="0"/>
      <w:marTop w:val="0"/>
      <w:marBottom w:val="0"/>
      <w:divBdr>
        <w:top w:val="none" w:sz="0" w:space="0" w:color="auto"/>
        <w:left w:val="none" w:sz="0" w:space="0" w:color="auto"/>
        <w:bottom w:val="none" w:sz="0" w:space="0" w:color="auto"/>
        <w:right w:val="none" w:sz="0" w:space="0" w:color="auto"/>
      </w:divBdr>
    </w:div>
    <w:div w:id="1680615754">
      <w:bodyDiv w:val="1"/>
      <w:marLeft w:val="0"/>
      <w:marRight w:val="0"/>
      <w:marTop w:val="0"/>
      <w:marBottom w:val="0"/>
      <w:divBdr>
        <w:top w:val="none" w:sz="0" w:space="0" w:color="auto"/>
        <w:left w:val="none" w:sz="0" w:space="0" w:color="auto"/>
        <w:bottom w:val="none" w:sz="0" w:space="0" w:color="auto"/>
        <w:right w:val="none" w:sz="0" w:space="0" w:color="auto"/>
      </w:divBdr>
    </w:div>
    <w:div w:id="1738166491">
      <w:bodyDiv w:val="1"/>
      <w:marLeft w:val="0"/>
      <w:marRight w:val="0"/>
      <w:marTop w:val="0"/>
      <w:marBottom w:val="0"/>
      <w:divBdr>
        <w:top w:val="none" w:sz="0" w:space="0" w:color="auto"/>
        <w:left w:val="none" w:sz="0" w:space="0" w:color="auto"/>
        <w:bottom w:val="none" w:sz="0" w:space="0" w:color="auto"/>
        <w:right w:val="none" w:sz="0" w:space="0" w:color="auto"/>
      </w:divBdr>
    </w:div>
    <w:div w:id="1764110842">
      <w:bodyDiv w:val="1"/>
      <w:marLeft w:val="0"/>
      <w:marRight w:val="0"/>
      <w:marTop w:val="0"/>
      <w:marBottom w:val="0"/>
      <w:divBdr>
        <w:top w:val="none" w:sz="0" w:space="0" w:color="auto"/>
        <w:left w:val="none" w:sz="0" w:space="0" w:color="auto"/>
        <w:bottom w:val="none" w:sz="0" w:space="0" w:color="auto"/>
        <w:right w:val="none" w:sz="0" w:space="0" w:color="auto"/>
      </w:divBdr>
    </w:div>
    <w:div w:id="1833253277">
      <w:bodyDiv w:val="1"/>
      <w:marLeft w:val="0"/>
      <w:marRight w:val="0"/>
      <w:marTop w:val="0"/>
      <w:marBottom w:val="0"/>
      <w:divBdr>
        <w:top w:val="none" w:sz="0" w:space="0" w:color="auto"/>
        <w:left w:val="none" w:sz="0" w:space="0" w:color="auto"/>
        <w:bottom w:val="none" w:sz="0" w:space="0" w:color="auto"/>
        <w:right w:val="none" w:sz="0" w:space="0" w:color="auto"/>
      </w:divBdr>
    </w:div>
    <w:div w:id="2013025994">
      <w:bodyDiv w:val="1"/>
      <w:marLeft w:val="0"/>
      <w:marRight w:val="0"/>
      <w:marTop w:val="0"/>
      <w:marBottom w:val="0"/>
      <w:divBdr>
        <w:top w:val="none" w:sz="0" w:space="0" w:color="auto"/>
        <w:left w:val="none" w:sz="0" w:space="0" w:color="auto"/>
        <w:bottom w:val="none" w:sz="0" w:space="0" w:color="auto"/>
        <w:right w:val="none" w:sz="0" w:space="0" w:color="auto"/>
      </w:divBdr>
    </w:div>
    <w:div w:id="2032140758">
      <w:bodyDiv w:val="1"/>
      <w:marLeft w:val="0"/>
      <w:marRight w:val="0"/>
      <w:marTop w:val="0"/>
      <w:marBottom w:val="0"/>
      <w:divBdr>
        <w:top w:val="none" w:sz="0" w:space="0" w:color="auto"/>
        <w:left w:val="none" w:sz="0" w:space="0" w:color="auto"/>
        <w:bottom w:val="none" w:sz="0" w:space="0" w:color="auto"/>
        <w:right w:val="none" w:sz="0" w:space="0" w:color="auto"/>
      </w:divBdr>
    </w:div>
    <w:div w:id="211539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7</Pages>
  <Words>1861</Words>
  <Characters>10614</Characters>
  <Application>Microsoft Office Word</Application>
  <DocSecurity>0</DocSecurity>
  <Lines>88</Lines>
  <Paragraphs>24</Paragraphs>
  <ScaleCrop>false</ScaleCrop>
  <Company/>
  <LinksUpToDate>false</LinksUpToDate>
  <CharactersWithSpaces>12451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Peace, Reagan Elizabeth</dc:creator>
  <cp:keywords/>
  <dc:description/>
  <cp:lastModifiedBy>Peace, Reagan Elizabeth</cp:lastModifiedBy>
  <cp:revision>214</cp:revision>
  <dcterms:created xsi:type="dcterms:W3CDTF">2021-04-20T19:45:00Z</dcterms:created>
  <dcterms:modified xsi:type="dcterms:W3CDTF">2021-04-28T20:07:00Z</dcterms:modified>
</cp:coreProperties>
</file>