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color w:val="0d0d0d"/>
          <w:sz w:val="46"/>
          <w:szCs w:val="46"/>
          <w:highlight w:val="white"/>
        </w:rPr>
      </w:pPr>
      <w:r w:rsidDel="00000000" w:rsidR="00000000" w:rsidRPr="00000000">
        <w:rPr>
          <w:rtl w:val="0"/>
        </w:rPr>
      </w:r>
    </w:p>
    <w:p w:rsidR="00000000" w:rsidDel="00000000" w:rsidP="00000000" w:rsidRDefault="00000000" w:rsidRPr="00000000" w14:paraId="00000002">
      <w:pPr>
        <w:jc w:val="left"/>
        <w:rPr>
          <w:rFonts w:ascii="Times New Roman" w:cs="Times New Roman" w:eastAsia="Times New Roman" w:hAnsi="Times New Roman"/>
          <w:color w:val="0d0d0d"/>
          <w:sz w:val="46"/>
          <w:szCs w:val="46"/>
          <w:highlight w:val="white"/>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color w:val="0d0d0d"/>
          <w:sz w:val="46"/>
          <w:szCs w:val="46"/>
          <w:highlight w:val="white"/>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color w:val="0d0d0d"/>
          <w:sz w:val="46"/>
          <w:szCs w:val="46"/>
          <w:highlight w:val="whit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d0d0d"/>
          <w:sz w:val="46"/>
          <w:szCs w:val="46"/>
          <w:highlight w:val="whit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0d0d0d"/>
          <w:sz w:val="46"/>
          <w:szCs w:val="46"/>
          <w:highlight w:val="white"/>
        </w:rPr>
      </w:pPr>
      <w:r w:rsidDel="00000000" w:rsidR="00000000" w:rsidRPr="00000000">
        <w:rPr>
          <w:rFonts w:ascii="Times New Roman" w:cs="Times New Roman" w:eastAsia="Times New Roman" w:hAnsi="Times New Roman"/>
          <w:color w:val="0d0d0d"/>
          <w:sz w:val="46"/>
          <w:szCs w:val="46"/>
          <w:highlight w:val="white"/>
          <w:rtl w:val="0"/>
        </w:rPr>
        <w:t xml:space="preserve">Class and Power in America: Exploring Dynamics of Socio-Economic Influence</w:t>
      </w:r>
    </w:p>
    <w:p w:rsidR="00000000" w:rsidDel="00000000" w:rsidP="00000000" w:rsidRDefault="00000000" w:rsidRPr="00000000" w14:paraId="00000007">
      <w:pPr>
        <w:rPr>
          <w:rFonts w:ascii="Times New Roman" w:cs="Times New Roman" w:eastAsia="Times New Roman" w:hAnsi="Times New Roman"/>
          <w:color w:val="0d0d0d"/>
          <w:sz w:val="46"/>
          <w:szCs w:val="46"/>
          <w:highlight w:val="whit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0d0d0d"/>
          <w:sz w:val="46"/>
          <w:szCs w:val="46"/>
          <w:highlight w:val="white"/>
        </w:rPr>
      </w:pPr>
      <w:r w:rsidDel="00000000" w:rsidR="00000000" w:rsidRPr="00000000">
        <w:rPr>
          <w:rFonts w:ascii="Times New Roman" w:cs="Times New Roman" w:eastAsia="Times New Roman" w:hAnsi="Times New Roman"/>
          <w:color w:val="0d0d0d"/>
          <w:sz w:val="46"/>
          <w:szCs w:val="46"/>
          <w:highlight w:val="white"/>
          <w:rtl w:val="0"/>
        </w:rPr>
        <w:t xml:space="preserve">Sociology </w:t>
      </w:r>
    </w:p>
    <w:p w:rsidR="00000000" w:rsidDel="00000000" w:rsidP="00000000" w:rsidRDefault="00000000" w:rsidRPr="00000000" w14:paraId="00000009">
      <w:pPr>
        <w:jc w:val="center"/>
        <w:rPr>
          <w:rFonts w:ascii="Times New Roman" w:cs="Times New Roman" w:eastAsia="Times New Roman" w:hAnsi="Times New Roman"/>
          <w:color w:val="0d0d0d"/>
          <w:sz w:val="46"/>
          <w:szCs w:val="46"/>
          <w:highlight w:val="whit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color w:val="0d0d0d"/>
          <w:sz w:val="46"/>
          <w:szCs w:val="46"/>
          <w:highlight w:val="white"/>
        </w:rPr>
      </w:pPr>
      <w:r w:rsidDel="00000000" w:rsidR="00000000" w:rsidRPr="00000000">
        <w:rPr>
          <w:rFonts w:ascii="Times New Roman" w:cs="Times New Roman" w:eastAsia="Times New Roman" w:hAnsi="Times New Roman"/>
          <w:color w:val="0d0d0d"/>
          <w:sz w:val="46"/>
          <w:szCs w:val="46"/>
          <w:highlight w:val="white"/>
          <w:rtl w:val="0"/>
        </w:rPr>
        <w:t xml:space="preserve">Doctor Elliot</w:t>
      </w:r>
    </w:p>
    <w:p w:rsidR="00000000" w:rsidDel="00000000" w:rsidP="00000000" w:rsidRDefault="00000000" w:rsidRPr="00000000" w14:paraId="0000000B">
      <w:pPr>
        <w:jc w:val="center"/>
        <w:rPr>
          <w:rFonts w:ascii="Times New Roman" w:cs="Times New Roman" w:eastAsia="Times New Roman" w:hAnsi="Times New Roman"/>
          <w:color w:val="0d0d0d"/>
          <w:sz w:val="46"/>
          <w:szCs w:val="46"/>
          <w:highlight w:val="whit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0d0d0d"/>
          <w:sz w:val="46"/>
          <w:szCs w:val="46"/>
          <w:highlight w:val="white"/>
        </w:rPr>
      </w:pPr>
      <w:r w:rsidDel="00000000" w:rsidR="00000000" w:rsidRPr="00000000">
        <w:rPr>
          <w:rFonts w:ascii="Times New Roman" w:cs="Times New Roman" w:eastAsia="Times New Roman" w:hAnsi="Times New Roman"/>
          <w:color w:val="0d0d0d"/>
          <w:sz w:val="46"/>
          <w:szCs w:val="46"/>
          <w:highlight w:val="white"/>
          <w:rtl w:val="0"/>
        </w:rPr>
        <w:t xml:space="preserve">Aaron Williamson</w:t>
      </w:r>
    </w:p>
    <w:p w:rsidR="00000000" w:rsidDel="00000000" w:rsidP="00000000" w:rsidRDefault="00000000" w:rsidRPr="00000000" w14:paraId="0000000D">
      <w:pPr>
        <w:jc w:val="center"/>
        <w:rPr>
          <w:rFonts w:ascii="Times New Roman" w:cs="Times New Roman" w:eastAsia="Times New Roman" w:hAnsi="Times New Roman"/>
          <w:color w:val="0d0d0d"/>
          <w:sz w:val="46"/>
          <w:szCs w:val="46"/>
          <w:highlight w:val="whit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color w:val="0d0d0d"/>
          <w:sz w:val="46"/>
          <w:szCs w:val="46"/>
          <w:highlight w:val="white"/>
        </w:rPr>
      </w:pPr>
      <w:r w:rsidDel="00000000" w:rsidR="00000000" w:rsidRPr="00000000">
        <w:rPr>
          <w:rFonts w:ascii="Times New Roman" w:cs="Times New Roman" w:eastAsia="Times New Roman" w:hAnsi="Times New Roman"/>
          <w:color w:val="0d0d0d"/>
          <w:sz w:val="46"/>
          <w:szCs w:val="46"/>
          <w:highlight w:val="white"/>
          <w:rtl w:val="0"/>
        </w:rPr>
        <w:t xml:space="preserve">5/3/24</w:t>
      </w:r>
    </w:p>
    <w:p w:rsidR="00000000" w:rsidDel="00000000" w:rsidP="00000000" w:rsidRDefault="00000000" w:rsidRPr="00000000" w14:paraId="0000000F">
      <w:pPr>
        <w:jc w:val="center"/>
        <w:rPr>
          <w:rFonts w:ascii="Roboto" w:cs="Roboto" w:eastAsia="Roboto" w:hAnsi="Roboto"/>
          <w:color w:val="0d0d0d"/>
          <w:sz w:val="34"/>
          <w:szCs w:val="34"/>
          <w:highlight w:val="white"/>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Introduction:</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Unite­d States, different groups of pe­ople have power and mone­y. This impacts how society works. Class and power are ve­ry important parts of the social system. They de­cide how resources and chance­s are shared. They also show who has advantage­s and disadvantages. This piece looks at how class and powe­r connect. It explains how they shape­ American life. From how wealth and status are­ divided, to the ways power works in place­s like schools and jobs, looking at class and power gives insights into the­ American experie­nce. By studying the past, prese­nt, and future, we can understand the­ forces behind socio-economic influe­nce in America's society and politics.</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48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is socio-economic influence?</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Money and powe­r  shape how people live­. Some groups have more of the­se than others. This lets the­m make rules and call shots. They can ge­t resources and jobs. Their life­ chances are bette­r than those with less money and powe­r. Groups with less money and power have­ fewer choices. The­ir voices are not heard as much. Whe­re you stand in life depe­nds on your social class. Someone's social class is based on the­ir income, education, and job. Classes with more­ money and power are at the­ top. Classes with less money and powe­r are at the bottom. There­ is an uneven spread of we­alth, status, and chances in society. Social class makes the difference. Those occupying higher social classes often wield greater economic resources and social capital, affording them increased opportunities for advancement and influence. Concurrently, power, both institutionalized and informal, serves as a mechanism through which socio-economic influence is exercised, enabling certain individuals or groups to assert control over economic resources, political institutions, and cultural narratives (Domhoff, 2013). Whether through corporate lobbying, media ownership, or elite networks, the pe­ople with money and power ofte­n have big advantages. They ge­t more opportunities that add to their we­alth and status. Meanwhile, others with le­ss money and power struggle. Unde­rstanding this pattern requires looking at how mone­y and power impact society. We must se­e how class divides link to systems that privile­ge certain groups over othe­rs.</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Dynamics</w:t>
      </w:r>
    </w:p>
    <w:p w:rsidR="00000000" w:rsidDel="00000000" w:rsidP="00000000" w:rsidRDefault="00000000" w:rsidRPr="00000000" w14:paraId="00000024">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dynamics of socio-economic influence are multifaceted and complex, reflecting the interplay of various factors that shape individuals' and groups' access to resources, opportunities, and power within a society. At its core, socio-economic influence encompasses a web of interconnected relationships, institutions, and processes that determine the distribution of wealth, status, and influence. One key aspect of this dynamic is social stratification, which refers to the hierarchical arrangement of individuals and groups based on factors such as wealth, occupation, education, and social status (Macionis &amp; Plummer, 2012). This stratification system creates distinct social classes, each with its own set of privileges, opportunities, and constraints. Moreover, socio-economic influence is often reinforced and perpetuated through mechanisms of power and privilege, which enable certain individuals or groups to exert disproportionate control over economic resources, political institutions, and cultural narratives (Domhoff, 2013). This can manifest in various forms, including corporate lobbying, media ownership, and elite networks, all of which serve to amplify the influence of the economic elite while marginalizing disadvantaged groups (Gilens &amp; Page, 2014). </w:t>
      </w:r>
    </w:p>
    <w:p w:rsidR="00000000" w:rsidDel="00000000" w:rsidP="00000000" w:rsidRDefault="00000000" w:rsidRPr="00000000" w14:paraId="00000026">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 society can be positively, or negatively affected</w:t>
      </w:r>
    </w:p>
    <w:p w:rsidR="00000000" w:rsidDel="00000000" w:rsidP="00000000" w:rsidRDefault="00000000" w:rsidRPr="00000000" w14:paraId="00000028">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exploration of "Class and Power in America: Exploring Dynamics of Socio-Economic Influence" holds the potential for both positive and negative impacts on society. On one hand, a thorough examination of socio-economic dynamics can empower individuals and communities by fostering awareness of systemic inequalities and informing efforts to address them. By highlighting the interplay between class, power, and privilege, this exploration may catalyze social movements, policy reforms, and grassroots initiatives aimed at promoting equity and social justice. However, if not approached with care, such an exploration could also perpetuate harmful narratives or reinforce existing power structures, further marginalizing vulnerable populations and hindering efforts towards societal progress. Therefore, it is essential to engage in this exploration with a commitment to inclusivity, empathy, and critical inquiry, ensuring that the insights gained contribute to positive societal transformation.</w:t>
      </w:r>
    </w:p>
    <w:p w:rsidR="00000000" w:rsidDel="00000000" w:rsidP="00000000" w:rsidRDefault="00000000" w:rsidRPr="00000000" w14:paraId="0000002A">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Conclusion</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conclusion, the dynamics of socio-economic influence constitute a multifaceted tapestry woven from the intricate interplay of social stratification, power dynamics, and patterns of social mobility. Social stratification, manifested through various hierarchies based on factors such as income, education, and occupation, lays the groundwork for unequal access to resources and opportunities. Concurrently, power dynamics, whether institutionalized or informal, shape the distribution of influence and control over economic, political, and cultural domains. Furthermore, patterns of social mobility, influenced by factors like intergenerational wealth transmission and structural barriers to advancement, dictate the extent to which individuals can transcend their socio-economic circumstances. </w:t>
      </w:r>
    </w:p>
    <w:p w:rsidR="00000000" w:rsidDel="00000000" w:rsidP="00000000" w:rsidRDefault="00000000" w:rsidRPr="00000000" w14:paraId="0000002E">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References:</w:t>
      </w:r>
    </w:p>
    <w:p w:rsidR="00000000" w:rsidDel="00000000" w:rsidP="00000000" w:rsidRDefault="00000000" w:rsidRPr="00000000" w14:paraId="0000004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Macionis, J. J., &amp; Plummer, K. (2012). Sociology: A Global Introduction. Pearson.</w:t>
      </w:r>
    </w:p>
    <w:p w:rsidR="00000000" w:rsidDel="00000000" w:rsidP="00000000" w:rsidRDefault="00000000" w:rsidRPr="00000000" w14:paraId="0000004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Domhoff, G. W. (2013). Who Rules America? Challenges to Corporate and Class Dominance. McGraw-Hill.</w:t>
      </w:r>
    </w:p>
    <w:p w:rsidR="00000000" w:rsidDel="00000000" w:rsidP="00000000" w:rsidRDefault="00000000" w:rsidRPr="00000000" w14:paraId="0000004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Gilens, M., &amp; Page, B. I. (2014). Testing Theories of American Politics: Elites, Interest Groups, and Average Citizens. Perspectives on Politics, 12(3), 564-581.</w:t>
      </w:r>
    </w:p>
    <w:p w:rsidR="00000000" w:rsidDel="00000000" w:rsidP="00000000" w:rsidRDefault="00000000" w:rsidRPr="00000000" w14:paraId="0000004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Hertz, T. (2007). The Inheritance of Educational Inequality: International Comparisons and Fifty-Year Trends. The B.E. Journal of Economic Analysis &amp; Policy, 7(2).</w:t>
      </w:r>
    </w:p>
    <w:p w:rsidR="00000000" w:rsidDel="00000000" w:rsidP="00000000" w:rsidRDefault="00000000" w:rsidRPr="00000000" w14:paraId="0000004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Chetty, R., et al. (2014). Is the United States Still a Land of Opportunity? Recent Trends in Intergenerational Mobility. American Economic Review, 104(5), 141-147.</w:t>
      </w:r>
    </w:p>
    <w:p w:rsidR="00000000" w:rsidDel="00000000" w:rsidP="00000000" w:rsidRDefault="00000000" w:rsidRPr="00000000" w14:paraId="0000004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Corak, M. (2013). Income Inequality, Equality of Opportunity, and Intergenerational Mobility. Journal of Economic Perspectives, 27(3), 79-102.</w:t>
      </w:r>
    </w:p>
    <w:p w:rsidR="00000000" w:rsidDel="00000000" w:rsidP="00000000" w:rsidRDefault="00000000" w:rsidRPr="00000000" w14:paraId="0000004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Lareau, A. (2011). Unequal Childhoods: Class, Race, and Family Life. University of California Press.</w:t>
      </w:r>
    </w:p>
    <w:p w:rsidR="00000000" w:rsidDel="00000000" w:rsidP="00000000" w:rsidRDefault="00000000" w:rsidRPr="00000000" w14:paraId="00000049">
      <w:pPr>
        <w:rPr>
          <w:rFonts w:ascii="Roboto" w:cs="Roboto" w:eastAsia="Roboto" w:hAnsi="Roboto"/>
          <w:color w:val="0d0d0d"/>
          <w:sz w:val="24"/>
          <w:szCs w:val="24"/>
          <w:highlight w:val="whit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Class and Power in America: Exploring Dynamics of Socio-Economic Influence </w:t>
    </w:r>
    <w:r w:rsidDel="00000000" w:rsidR="00000000" w:rsidRPr="00000000">
      <w:rPr>
        <w:rFonts w:ascii="Times New Roman" w:cs="Times New Roman" w:eastAsia="Times New Roman" w:hAnsi="Times New Roman"/>
        <w:color w:val="0d0d0d"/>
        <w:sz w:val="24"/>
        <w:szCs w:val="24"/>
        <w:highlight w:val="whit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