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Sociology</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November 2021</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Harari Compared to Previous Topics</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book 21 Lessons for the 21st Century, written by Yuval Noah Harari, there are a variety of different topics covered. These topics include discrimination, nationalism, the dubiousness of individuality, and groupthink, among other things. Many of the topics that Harari covers in his books can be related to the topics that were discussed in our class, earlier on in the semester. Some of them may complement each other well. They may also disagree with each other, and there may be contradictions between concepts. In this essay, I hope to analyze the differences and similarities between the concepts and ideas presented in 21 Lessons for the 21st Century and the ideas that we have previously learned about in this class.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that Harari brings up in the “Ignorance” chapter of his book is the idea that individuality is a myth. In his words “Humans rarely think for themselves. Rather, we think in groups.” (Harari, 222). Harari says that it is humanity's ability to think as a group that has set us apart from all other species on the planet. This is called “groupthink”. To Harari, groupthink is not inherently bad, but depending on the circumstance, it can be dangerous. On one hand, humans being able to put their knowledge together has helped us to become smarter collectively. It allows us to complete complex tasks that we may not have otherwise been able to do, had we acted as individuals. However, on the other hand, groupthink can be harmful, or even detrimental. For example, imagine if someone proposed an idea that is damaging to a certain group of people. If the majority of people not belonging to that group are convinced that this idea is a fact, then it could cause them to become prejudiced towards that group. In some cases, that belief could become institutionalized, leading to generations of harm done to the group. The concept of groupthink is interesting, as it shares similarities with concepts that have been discussed earlier in the semester, while also contradicting some of the other concepts that we have learned about. The idea of groupthink has some similarities to the concept of collective consciousness, a concept that was developed by Émile Durkheim, a sociologist, in the late 1800s. The term “collective consciousness” refers to a set of shared morals, ideas, or beliefs that unify a group of people in some way. Similarly to groupthink, collective consciousness is not presented as inherently good or evil, and the benefits and drawbacks of collective consciousness can depend on the situation. Whether or not it is harmful depends on the unifying idea or moral. Much like with groupthink, if the idea is one that is oppressive and institutionalized, it can cause harm to the specific group that the idea in question targets. However, if the belief is beneficial, it could allow humanity to become more advanced in a number of ways. Although groupthink has some similarities to collective consciousness, Harari’s belief that individuality is a myth directly contradicts concepts that were discussed very early on in the semester, specifically the ideas originated by William James, Charles Horton Cooley, and George Herbert Mead, which were discussed in Module 2. William James proposed that an individual’s identity can be divided into three parts, including the spiritual, social, and material self. Charles Horton Cooley argued a similar point, putting forward that people have a “looking glass” self, in which people change the way that they behave based on how others perceive them. Finally, George Herbert Mead, similarly to James, suggests that a person’s identity is split into three parts, those being the Self, the I, and the Me. Although these three people present different interpretations of identity, they share one thing in common. They all believe that people are individuals, with different views of the world around them, and that their identities are multifaceted. However, Harari argues that because humans rarely, if ever, think as individuals, and only really think as a group, and it is because of this that individuality is a myth. The tension between these two arguments comes from their core components. Both of these arguments can be applied to many different situations, and not all of them will contradict each other. However, the argument of whether or not people can be individuals is what creates the conflict between these points. I don’t think that any one person in this argument is right or wrong. As I said before, any of these concepts could be applied to many different sets of circumstances. I think that both arguments make good points, and have validity. How applicable the argument is just depends on the situation.</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chapter “Nationalism”, Harari discusses many aspects of nationalism. Nationalism is defined as having extreme loyalty and devotion to one’s own nation, usually to the extent of looking down upon other nations. People who are nationalists tend to look down upon other cultures, as they consider theirs to be the “right one”. When faced with other cultures or beliefs, nationalists may react negatively or aggressively. Harari describes how these behaviors start to occur, talking about how “benign patriotism morphs into chauvinistic ultranationalism. Instead of believing that my nation is unique - which is true of all nations - I might begin feeling that my nation is supreme, that I owe it my entire loyalty, and that I have no significant obligations to anyone else'' (Harari, 112). This way of thinking is described further in the chapter “Immigration”. Harari describes how “though globalization has greatly reduced cultural differences across the planet, it has simultaneously made it far easier to encounter strangers and become upset by their oddities” (Harari, 140). Nationalists that view others in this way may feel like they don’t need to respect other cultures or people different from them. They see these people as beneath them, and feel no obligation to treat them with much consideration. This way of thinking is complimentary of racism. Extreme nationalism shares many similarities with racism, and can often be the source of racism. Earlier in the semester, racism and the different ways it can manifest were discussed, especially in module 4, where job discrimination was discussed. A key example of job discrimination can be found with the Pager discriminaiton study. The study was performed by Devah Pager and Bart Bonikowski, both from Princeton University, as well as Bruce Western from Harvard University. This study addressed the question of how racial discrimination impacts the job market. The study involved a number of job applicants, all men between the ages of 22 and 26. All of the applicants presented themselves as being of the same education level, and having equal job experience. The applicants were all either Black, White, or Latino. Some of the applicants were instructed to disclose a criminal record when asked. The results show just how widespread job discriminaiton is. Among the group that included participants that didn’t have a criminal record, the white applicants had the most positive responses, with 31% of the callbacks. Latino applicants followed with 25.2% of the positive responses, and Black people had 15.2% of the positive responses. This part of the study shows how race can have an impact on the job application process. In the group that included participants who were given a criminal record, white applicants still had the highest amount of positive responses, with 17.2% of the job offers. Latino and Black participants followed with 15.4% and 13% of the positive responses respectively. Overall, this study shows that, even though progress has been made, racial discriminaiton, especially in regards to job applications, is still very much alive. The act of judging someone based on something like their race or culture is what connects job discrimination and extreme nationalism. People who participate in extreme nationalism believe that those who are different from them are less deserving of certain opportunities or rights. When an interviewer turns down an applicant based on their race, similarly to extreme nationalists, it shows that they believe that people of a certain race are less deserving of the opportunities that other people get. </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Pager discrimination study also has similarities to another topic covered by Harari in the “Equality” chapter of his book. In this chapter, the topic of economic disparities and class discrimination are covered. Similarly, the Pager discrimination study deals with the economic effects of racism. In 21 Lessons for the 21st Century, the history of inequality is discussed. Harari describes how economic inequality can date back to the Stone Age, and talks about how some members of hunter-gatherer communities were buried with expensive jewelry and clothing, and others were buried with nothing at all. Even back then, people’s status depended on their wealth. Harari also mentions that throughout history wealth is the only thing that determines high social status, and that “throughout history the rich and the aristocracy always imagined that they had skills superior to everybody else’s, which was why they were in control. As far as we can tell, that wasn’t true” (Harari, 75). The Pager discrimination is almost like a continuation of this chapter. It shows how economic inequality has persisted into the modern day, and the ways in which it manifests. </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Harari’s book covers many topics that both complement and contradict topics that have been covered in the past in this class. These topics include the comparison of economic disparity in the past and modern day, the similarities between extreme nationalism and racial discrimination, and the similarities and differences between the collective consciousness, the different “selves” that make up a person’s identity, and individuality being a myth. Having many different perspectives on an issue is important, which is why it’s essential to think critically about people’s opinions. Having different views on a topic is one thing among many that makes our experiences unique.</w:t>
      </w:r>
    </w:p>
    <w:p w:rsidR="00000000" w:rsidDel="00000000" w:rsidP="00000000" w:rsidRDefault="00000000" w:rsidRPr="00000000" w14:paraId="0000000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w:t>
      </w:r>
    </w:p>
    <w:p w:rsidR="00000000" w:rsidDel="00000000" w:rsidP="00000000" w:rsidRDefault="00000000" w:rsidRPr="00000000" w14:paraId="0000000C">
      <w:pPr>
        <w:spacing w:after="240" w:before="240" w:line="480" w:lineRule="auto"/>
        <w:ind w:left="1281.6" w:hanging="1281.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Harari, Yuval N. </w:t>
      </w:r>
      <w:r w:rsidDel="00000000" w:rsidR="00000000" w:rsidRPr="00000000">
        <w:rPr>
          <w:rFonts w:ascii="Times New Roman" w:cs="Times New Roman" w:eastAsia="Times New Roman" w:hAnsi="Times New Roman"/>
          <w:i w:val="1"/>
          <w:sz w:val="24"/>
          <w:szCs w:val="24"/>
          <w:rtl w:val="0"/>
        </w:rPr>
        <w:t xml:space="preserve">21 Lessons for the 21st Century</w:t>
      </w:r>
      <w:r w:rsidDel="00000000" w:rsidR="00000000" w:rsidRPr="00000000">
        <w:rPr>
          <w:rFonts w:ascii="Times New Roman" w:cs="Times New Roman" w:eastAsia="Times New Roman" w:hAnsi="Times New Roman"/>
          <w:sz w:val="24"/>
          <w:szCs w:val="24"/>
          <w:rtl w:val="0"/>
        </w:rPr>
        <w:t xml:space="preserve">. Spiegel &amp; Grau, 2018. </w:t>
      </w:r>
    </w:p>
    <w:p w:rsidR="00000000" w:rsidDel="00000000" w:rsidP="00000000" w:rsidRDefault="00000000" w:rsidRPr="00000000" w14:paraId="0000000D">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Pager, Devah, et al. </w:t>
      </w:r>
      <w:r w:rsidDel="00000000" w:rsidR="00000000" w:rsidRPr="00000000">
        <w:rPr>
          <w:rFonts w:ascii="Times New Roman" w:cs="Times New Roman" w:eastAsia="Times New Roman" w:hAnsi="Times New Roman"/>
          <w:i w:val="1"/>
          <w:sz w:val="24"/>
          <w:szCs w:val="24"/>
          <w:rtl w:val="0"/>
        </w:rPr>
        <w:t xml:space="preserve">Discrimination in a Low-Wage Labor Market: A Field Experiment</w:t>
      </w:r>
      <w:r w:rsidDel="00000000" w:rsidR="00000000" w:rsidRPr="00000000">
        <w:rPr>
          <w:rFonts w:ascii="Times New Roman" w:cs="Times New Roman" w:eastAsia="Times New Roman" w:hAnsi="Times New Roman"/>
          <w:sz w:val="24"/>
          <w:szCs w:val="24"/>
          <w:rtl w:val="0"/>
        </w:rPr>
        <w:t xml:space="preserve">. American Sociological Review, Oct. 2009. </w:t>
      </w:r>
    </w:p>
    <w:p w:rsidR="00000000" w:rsidDel="00000000" w:rsidP="00000000" w:rsidRDefault="00000000" w:rsidRPr="00000000" w14:paraId="0000000E">
      <w:pPr>
        <w:spacing w:after="240" w:before="240" w:line="480" w:lineRule="auto"/>
        <w:ind w:left="5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0">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