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 </w:t>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November 2021</w:t>
      </w:r>
    </w:p>
    <w:p w:rsidR="00000000" w:rsidDel="00000000" w:rsidP="00000000" w:rsidRDefault="00000000" w:rsidRPr="00000000" w14:paraId="00000005">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Analyzation of Harari’s Agreement with Class Material</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shd w:fill="ffe599" w:val="clear"/>
        </w:rPr>
      </w:pP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21 Lessons for the 21</w:t>
      </w:r>
      <w:r w:rsidDel="00000000" w:rsidR="00000000" w:rsidRPr="00000000">
        <w:rPr>
          <w:rFonts w:ascii="Times New Roman" w:cs="Times New Roman" w:eastAsia="Times New Roman" w:hAnsi="Times New Roman"/>
          <w:i w:val="1"/>
          <w:sz w:val="24"/>
          <w:szCs w:val="24"/>
          <w:vertAlign w:val="superscript"/>
          <w:rtl w:val="0"/>
        </w:rPr>
        <w:t xml:space="preserve">st</w:t>
      </w:r>
      <w:r w:rsidDel="00000000" w:rsidR="00000000" w:rsidRPr="00000000">
        <w:rPr>
          <w:rFonts w:ascii="Times New Roman" w:cs="Times New Roman" w:eastAsia="Times New Roman" w:hAnsi="Times New Roman"/>
          <w:i w:val="1"/>
          <w:sz w:val="24"/>
          <w:szCs w:val="24"/>
          <w:rtl w:val="0"/>
        </w:rPr>
        <w:t xml:space="preserve"> Century </w:t>
      </w:r>
      <w:r w:rsidDel="00000000" w:rsidR="00000000" w:rsidRPr="00000000">
        <w:rPr>
          <w:rFonts w:ascii="Times New Roman" w:cs="Times New Roman" w:eastAsia="Times New Roman" w:hAnsi="Times New Roman"/>
          <w:sz w:val="24"/>
          <w:szCs w:val="24"/>
          <w:rtl w:val="0"/>
        </w:rPr>
        <w:t xml:space="preserve">is an insightful book written by Israeli author Yuval Noah Harari. It addresses the political, technological, scientific, and sociological problems of today, as well as how humanity should face them in the coming future. According to Harari, we have no idea how the world will look in the year 2050. Harari offers priceless advice, perception, humor, and rationale in his quest to navigate the challenges of the twenty-first century In doing so, his goal is to provide some historian-based perspective so we as a people can begin trying to form some semblance of understanding going forward. The balance between introductory concepts and more abstract notions was carefully written and made for a thought-provoking read. However, since Harari comes from a more modern time, some of his ideals do not coincide with previously learned concepts, many of which were conjured hundreds of years ago. Still, as many sociological and philosophical concepts are for the most part unchangingly universally accepted, most of Harari’s writing agrees with theories learned in previous lessons. This essay seeks to examine how sociological concepts align with the insights of Harari.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lessons we have learned in class were confirmed by Harari’s writing. The following is just one example, but arguably may be the strongest alignment. In module one, when the class was introduced to sociology, we reviewed Emile Durkheim and his perception of the significance of religion to human societies. According to Durkheim, “If religion has given birth to all that is essential in society, it is because the idea of society is the soul of religion” (p. 72). Here, Durkheim credits religion as the foundation of human civilization and society. He continues on by saying, “It is true that since collective sentiments can become conscious of themselves only by fixing themselves upon external objects; they have thus acquired a sort of physical nature; in this way they have come to mix themselves with the life of the material world…” (p. 72). When humans apply spiritual meaning to work, it becomes tangible. Durkheim names religion as the cause for objects in the material world, which constitutes human society.</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 onto Durkheim’s theory, in module one, the class explored The Neurology of Religion by Alexandra Maryanski and Jonathan Turner. The authors concluded that meaningful, abstract thought (for example, religious behavior and collective representations) can be explained by Darwinian natural selection. Hominin neuroanatomy evolved, making humans more social and able to form stable groupings. The adaptation of the brain of the ape </w:t>
      </w:r>
      <w:r w:rsidDel="00000000" w:rsidR="00000000" w:rsidRPr="00000000">
        <w:rPr>
          <w:rFonts w:ascii="Times New Roman" w:cs="Times New Roman" w:eastAsia="Times New Roman" w:hAnsi="Times New Roman"/>
          <w:i w:val="1"/>
          <w:sz w:val="24"/>
          <w:szCs w:val="24"/>
          <w:rtl w:val="0"/>
        </w:rPr>
        <w:t xml:space="preserve">Morotopithecus </w:t>
      </w:r>
      <w:r w:rsidDel="00000000" w:rsidR="00000000" w:rsidRPr="00000000">
        <w:rPr>
          <w:rFonts w:ascii="Times New Roman" w:cs="Times New Roman" w:eastAsia="Times New Roman" w:hAnsi="Times New Roman"/>
          <w:sz w:val="24"/>
          <w:szCs w:val="24"/>
          <w:rtl w:val="0"/>
        </w:rPr>
        <w:t xml:space="preserve">makes forming stronger social ties much more effective. “Humans are very disposed to give emotional significance to special situations, including their emotionally charged social relations” (Maryanski &amp; Turner, 135). The authors connect the experience of emotion to social bonding, which is extremely important among humans for development in several different aspects (for example, cognitive, social, emotional, verbal, etc.).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Harari does not delve into the neurological and evolutionary aspects of society like Maryanski and Turner do, he instead stresses the importance of emotional and social bonding with others several times in the book. “In order to flourish we still need to ground ourselves in intimate communities” (p. 86). “...humans are social animals, therefore their happiness depends to a very large extent on their relations with others. Without love, friendship and community, who could be happy? If you live a lonely self-centred life, you are almost guaranteed to be miserable” (p. 206). He argues that social relationships are one of the most significant aspects of human health and wellbeing. Therefore, healthy and strong communities or societies cannot be formed without intimate connections between its members.</w:t>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Furthermore, the importance of religion in social bonding is emphasized in </w:t>
      </w:r>
      <w:r w:rsidDel="00000000" w:rsidR="00000000" w:rsidRPr="00000000">
        <w:rPr>
          <w:rFonts w:ascii="Times New Roman" w:cs="Times New Roman" w:eastAsia="Times New Roman" w:hAnsi="Times New Roman"/>
          <w:i w:val="1"/>
          <w:sz w:val="24"/>
          <w:szCs w:val="24"/>
          <w:rtl w:val="0"/>
        </w:rPr>
        <w:t xml:space="preserve">21 Lessons for the 21</w:t>
      </w:r>
      <w:r w:rsidDel="00000000" w:rsidR="00000000" w:rsidRPr="00000000">
        <w:rPr>
          <w:rFonts w:ascii="Times New Roman" w:cs="Times New Roman" w:eastAsia="Times New Roman" w:hAnsi="Times New Roman"/>
          <w:i w:val="1"/>
          <w:sz w:val="24"/>
          <w:szCs w:val="24"/>
          <w:vertAlign w:val="superscript"/>
          <w:rtl w:val="0"/>
        </w:rPr>
        <w:t xml:space="preserve">st</w:t>
      </w:r>
      <w:r w:rsidDel="00000000" w:rsidR="00000000" w:rsidRPr="00000000">
        <w:rPr>
          <w:rFonts w:ascii="Times New Roman" w:cs="Times New Roman" w:eastAsia="Times New Roman" w:hAnsi="Times New Roman"/>
          <w:i w:val="1"/>
          <w:sz w:val="24"/>
          <w:szCs w:val="24"/>
          <w:rtl w:val="0"/>
        </w:rPr>
        <w:t xml:space="preserve"> Century. </w:t>
      </w:r>
      <w:r w:rsidDel="00000000" w:rsidR="00000000" w:rsidRPr="00000000">
        <w:rPr>
          <w:rFonts w:ascii="Times New Roman" w:cs="Times New Roman" w:eastAsia="Times New Roman" w:hAnsi="Times New Roman"/>
          <w:sz w:val="24"/>
          <w:szCs w:val="24"/>
          <w:rtl w:val="0"/>
        </w:rPr>
        <w:t xml:space="preserve">Harari states that “Homo sapiens is a post-truth species, whose power depends on creating and believing fictions. Ever since the Stone Age, self-reinforcing myths have served to unite human collectives… By bringing people together, religious creeds make large-scale human cooperation possible. They inspire people to build hospitals, schools and bridges in addition to armies and prisons” (p. 240-241). He goes on further to argue that religion is the most effective tool in bringing humans together over a shared passion. It is successful in forming strong social ties with humans. So, not only are social bonds extremely important to humans for successful societies, but they may as well have not even been possible if not for religion as a shared passion. It is religion in some form or another that brings humans together, regardless of the connection they previously had. Religion is the universal connector, because of the importance of assigning meaning to phenomena. </w:t>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Thus, Harari and Maryanski and Turner stress the importance of religion and social bonding when it concerns human civilization development. According to Maryanski and Turner, the evolution of the brain led to the inherent human ability to attribute emotional significance (usually with a religious subcontext) with a natural phenomena (usually rationally unexplainable by humans). This emotional significance transfers to meaningful relationships with human communities. Durkheim’s theory of religion being the foundation to society is only further proved by Maryanski and Turner’s research. In addition to this, Harari states that religion is extremely effective in strengthening cooperation and unity. With religion as a common uniter, humans can deepen their social and relational bonds, resulting in stronger communities and healthier individuals.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many of Harari’s ideas are in harmony with the theories and concepts explored in class, there is definitely a major conflicting idea regarding the philosophy of the self. In module two, we explored “The Self and Its Selves” by William James. James describes the “self” by dividing it into separate components. The material self is all that an individual possesses, whether it be their body, their money, their friends and family, or their reputation. The social self is the perception of the individual as seen by others. The spiritual self consists of one’s emotions and drives. Most importantly, the pure ego is the unchanging soul of the individual, which is stable regardless of one’s environment or experiences: “The sense of personal identity is not, then, this mere synthetic form essential to all thought. It is the sense of a sameness perceived by thought and predicated of things thought-about. These things are a present self and a self of yesterday…” (James, 1890). In this quote, James argues that the pure ego is true and consistent, unchanged by thoughts, perceptions of experiences, or emotions. He simplifies the different versions of the self by synthesizing one’s essence into a single, unmalleable soul. </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Harari contradicts James’s rationale in Chapter 21, </w:t>
      </w:r>
      <w:r w:rsidDel="00000000" w:rsidR="00000000" w:rsidRPr="00000000">
        <w:rPr>
          <w:rFonts w:ascii="Times New Roman" w:cs="Times New Roman" w:eastAsia="Times New Roman" w:hAnsi="Times New Roman"/>
          <w:i w:val="1"/>
          <w:sz w:val="24"/>
          <w:szCs w:val="24"/>
          <w:rtl w:val="0"/>
        </w:rPr>
        <w:t xml:space="preserve">Meditation. </w:t>
      </w:r>
      <w:r w:rsidDel="00000000" w:rsidR="00000000" w:rsidRPr="00000000">
        <w:rPr>
          <w:rFonts w:ascii="Times New Roman" w:cs="Times New Roman" w:eastAsia="Times New Roman" w:hAnsi="Times New Roman"/>
          <w:sz w:val="24"/>
          <w:szCs w:val="24"/>
          <w:rtl w:val="0"/>
        </w:rPr>
        <w:t xml:space="preserve">He reflects on what it means to live and be after explaining how the practice of meditation simplified his mental state to the here and now. Harari explains how it is human nature to become fascinated by the mystery of life after death and what that means to us as conscious beings. Many believe that “‘...the soul endures from birth to death and thereby holds life together…’”, but Harari argues that you cannot “observe a soul”, and the soul cannot be constant, because there is nothing that “endures from birth to death”. “The body keeps changing every moment, the brain keeps changing every moment, the mind keeps changing every moment” (p. 318). In this argument, Harari interconnects the mind and the soul- claiming that since the mind is perpetually changing in some form or another, the soul cannot possibly be a constant.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according to Harari, if the human mind is constantly adapting to new experiences and information, there is no possibility that the soul can be constant. The soul may not even exist because it is not observable, and we should not view the mind and soul as separate because they are too connected to ignore. Harari focuses on the perception of life and how physical sensations affect human bodies, not the abstract meaning of the self and one’s cosmic purpose. He pays strict attention to the observable, immediate senses. Since this is the only truly empirical evidence of human existence, it should be prioritized over the abstract pondering of eternal life and spirituality. Meanwhile, James attributes the human personality with an inherently permanent personal essence. It is untouched by experience or environmental input. The soul remains the same, even beyond physical death. James and Harari clearly disagree on the philosophical approach of human life and spirituality, especially when it concerns death. </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reflecting on Harari’s perception of human sociology and the “lessons” he insightfully posits in </w:t>
      </w:r>
      <w:r w:rsidDel="00000000" w:rsidR="00000000" w:rsidRPr="00000000">
        <w:rPr>
          <w:rFonts w:ascii="Times New Roman" w:cs="Times New Roman" w:eastAsia="Times New Roman" w:hAnsi="Times New Roman"/>
          <w:i w:val="1"/>
          <w:sz w:val="24"/>
          <w:szCs w:val="24"/>
          <w:rtl w:val="0"/>
        </w:rPr>
        <w:t xml:space="preserve">21 Lessons for the 21</w:t>
      </w:r>
      <w:r w:rsidDel="00000000" w:rsidR="00000000" w:rsidRPr="00000000">
        <w:rPr>
          <w:rFonts w:ascii="Times New Roman" w:cs="Times New Roman" w:eastAsia="Times New Roman" w:hAnsi="Times New Roman"/>
          <w:i w:val="1"/>
          <w:sz w:val="24"/>
          <w:szCs w:val="24"/>
          <w:vertAlign w:val="superscript"/>
          <w:rtl w:val="0"/>
        </w:rPr>
        <w:t xml:space="preserve">st</w:t>
      </w:r>
      <w:r w:rsidDel="00000000" w:rsidR="00000000" w:rsidRPr="00000000">
        <w:rPr>
          <w:rFonts w:ascii="Times New Roman" w:cs="Times New Roman" w:eastAsia="Times New Roman" w:hAnsi="Times New Roman"/>
          <w:i w:val="1"/>
          <w:sz w:val="24"/>
          <w:szCs w:val="24"/>
          <w:rtl w:val="0"/>
        </w:rPr>
        <w:t xml:space="preserve"> Century, </w:t>
      </w:r>
      <w:r w:rsidDel="00000000" w:rsidR="00000000" w:rsidRPr="00000000">
        <w:rPr>
          <w:rFonts w:ascii="Times New Roman" w:cs="Times New Roman" w:eastAsia="Times New Roman" w:hAnsi="Times New Roman"/>
          <w:sz w:val="24"/>
          <w:szCs w:val="24"/>
          <w:rtl w:val="0"/>
        </w:rPr>
        <w:t xml:space="preserve">it can be confidently said that most of Harari’s ideas are consistent with the learned class material thus far. To recapitulate, Harari’s argument about the significance of religion and its social bonding power completely coincides with the research and theories of Maryanski, Turner, and Durkheim. Each of the three authors’s research or opinions perfectly complement each other. However, Harari’s opinion on what takes place after death does not agree with the theory of William James, who postulated that the pure ego is the ever-present and unchanging soul of a human being that transcends time and physical presence on Earth. It must be taken into consideration that James’s theory is considerably older, and Harari’s opinion stems from a personal experience (which he reflects on in Chapter 21, </w:t>
      </w:r>
      <w:r w:rsidDel="00000000" w:rsidR="00000000" w:rsidRPr="00000000">
        <w:rPr>
          <w:rFonts w:ascii="Times New Roman" w:cs="Times New Roman" w:eastAsia="Times New Roman" w:hAnsi="Times New Roman"/>
          <w:i w:val="1"/>
          <w:sz w:val="24"/>
          <w:szCs w:val="24"/>
          <w:rtl w:val="0"/>
        </w:rPr>
        <w:t xml:space="preserve">Meditation</w:t>
      </w:r>
      <w:r w:rsidDel="00000000" w:rsidR="00000000" w:rsidRPr="00000000">
        <w:rPr>
          <w:rFonts w:ascii="Times New Roman" w:cs="Times New Roman" w:eastAsia="Times New Roman" w:hAnsi="Times New Roman"/>
          <w:sz w:val="24"/>
          <w:szCs w:val="24"/>
          <w:rtl w:val="0"/>
        </w:rPr>
        <w:t xml:space="preserve">). Though, this disagreement is one of the few inconsistencies between opinions and is the most noticeably major. Reading </w:t>
      </w:r>
      <w:r w:rsidDel="00000000" w:rsidR="00000000" w:rsidRPr="00000000">
        <w:rPr>
          <w:rFonts w:ascii="Times New Roman" w:cs="Times New Roman" w:eastAsia="Times New Roman" w:hAnsi="Times New Roman"/>
          <w:i w:val="1"/>
          <w:sz w:val="24"/>
          <w:szCs w:val="24"/>
          <w:rtl w:val="0"/>
        </w:rPr>
        <w:t xml:space="preserve">21 Lessons for the 21st Century </w:t>
      </w:r>
      <w:r w:rsidDel="00000000" w:rsidR="00000000" w:rsidRPr="00000000">
        <w:rPr>
          <w:rFonts w:ascii="Times New Roman" w:cs="Times New Roman" w:eastAsia="Times New Roman" w:hAnsi="Times New Roman"/>
          <w:sz w:val="24"/>
          <w:szCs w:val="24"/>
          <w:rtl w:val="0"/>
        </w:rPr>
        <w:t xml:space="preserve">successfully proves how sociological theories can approve or disprove each other, and is a powerfully stimulating opportunity to compare and contrast some of the most influential thinkers of human society. </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62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