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C63633" w14:textId="09F554A8" w:rsidR="00AB3F0B" w:rsidRPr="00AE3514" w:rsidRDefault="00AB3F0B" w:rsidP="00AB3F0B">
      <w:pPr>
        <w:ind w:firstLine="720"/>
      </w:pPr>
      <w:r>
        <w:t xml:space="preserve">The two articles fell in line with one another beautifully, ultimately explaining all of the contributors to self-concept. Our material possessions influence how we look at ourselves because it makes other people look at us a certain way (the social self). The Personal identity </w:t>
      </w:r>
      <w:r w:rsidR="00A27F7C">
        <w:t>allows us to be individuals based on who we are and who we choose to be based on unique character traits. The pure ego is our deepest, most unknown aspect, one that we can’t ever change, but it contributes highly to the conception of self.</w:t>
      </w:r>
    </w:p>
    <w:sectPr w:rsidR="00AB3F0B" w:rsidRPr="00AE351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6B7"/>
    <w:rsid w:val="009736F0"/>
    <w:rsid w:val="00A27BBD"/>
    <w:rsid w:val="00A27F7C"/>
    <w:rsid w:val="00AB3F0B"/>
    <w:rsid w:val="00AD412A"/>
    <w:rsid w:val="00AE3514"/>
    <w:rsid w:val="00C866B7"/>
    <w:rsid w:val="00FF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4F9B3E"/>
  <w15:chartTrackingRefBased/>
  <w15:docId w15:val="{6FA54BEE-8646-004E-9EFE-0F2E77175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343</Words>
  <Characters>1960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Collin Thomas</dc:creator>
  <cp:keywords/>
  <dc:description/>
  <cp:lastModifiedBy>Harris, Collin Thomas</cp:lastModifiedBy>
  <cp:revision>1</cp:revision>
  <dcterms:created xsi:type="dcterms:W3CDTF">2021-02-06T00:06:00Z</dcterms:created>
  <dcterms:modified xsi:type="dcterms:W3CDTF">2021-02-06T00:49:00Z</dcterms:modified>
</cp:coreProperties>
</file>