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Spectral-bold.ttf" ContentType="application/x-font-ttf"/>
  <Override PartName="/word/fonts/Spectral-boldItalic.ttf" ContentType="application/x-font-ttf"/>
  <Override PartName="/word/fonts/Spectral-italic.ttf" ContentType="application/x-font-ttf"/>
  <Override PartName="/word/fonts/Spectral-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ind w:right="0" w:firstLine="720"/>
        <w:jc w:val="center"/>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The Looking Glass Self and Me</w:t>
      </w:r>
    </w:p>
    <w:p w:rsidR="00000000" w:rsidDel="00000000" w:rsidP="00000000" w:rsidRDefault="00000000" w:rsidRPr="00000000" w14:paraId="00000003">
      <w:pPr>
        <w:spacing w:line="480" w:lineRule="auto"/>
        <w:ind w:right="0" w:firstLine="720"/>
        <w:rPr>
          <w:rFonts w:ascii="Spectral" w:cs="Spectral" w:eastAsia="Spectral" w:hAnsi="Spectral"/>
          <w:color w:val="333333"/>
          <w:sz w:val="24"/>
          <w:szCs w:val="24"/>
        </w:rPr>
      </w:pPr>
      <w:r w:rsidDel="00000000" w:rsidR="00000000" w:rsidRPr="00000000">
        <w:rPr>
          <w:rFonts w:ascii="Spectral" w:cs="Spectral" w:eastAsia="Spectral" w:hAnsi="Spectral"/>
          <w:color w:val="333333"/>
          <w:sz w:val="24"/>
          <w:szCs w:val="24"/>
          <w:rtl w:val="0"/>
        </w:rPr>
        <w:t xml:space="preserve">I overheard my parents complaining about me to one another, friends, and other family all the time. My siblings and I always joked about how our house had “rice paper” walls. Let me tell you, nothing, and I mean nothing is more irritating than hearing your parents talk down about you. Letters came in the mail from schools and programs for troubled youth. I was constantly being punished for one thing or another. I was always to blame for any and everything. The “common denominator,” as I previously stated. Anytime me and any of my brothers bickered, my parents would automatically assume I was to blame. At school I was the teacher’s pet. Perfectly behaved. We had citizenship sticker charts and I had the most stickers in my class. I was always on the honor roll and my teachers could not seem to praise me enough. The first “principle element” of the Looking Glass Self is the “Imagination of our appearance to the other person.” My parents left very little up to imagination. I knew exactly how they viewed me when private conversations were very loudly spoken just a room over (New York Italians do not know how to be quiet). My countless number of nicknames referring to my attitude problem very much reinforced the things I overheard. The many positive reinforcements for my behavior and the special treatment I received from teachers really solidified the idea that they believed I was good. I was viewed as two different children at home and at school. </w:t>
      </w:r>
    </w:p>
    <w:p w:rsidR="00000000" w:rsidDel="00000000" w:rsidP="00000000" w:rsidRDefault="00000000" w:rsidRPr="00000000" w14:paraId="00000005">
      <w:pPr>
        <w:spacing w:line="480" w:lineRule="auto"/>
        <w:ind w:right="0" w:firstLine="720"/>
        <w:rPr>
          <w:rFonts w:ascii="Spectral" w:cs="Spectral" w:eastAsia="Spectral" w:hAnsi="Spectral"/>
          <w:color w:val="333333"/>
          <w:sz w:val="24"/>
          <w:szCs w:val="24"/>
        </w:rPr>
      </w:pPr>
      <w:r w:rsidDel="00000000" w:rsidR="00000000" w:rsidRPr="00000000">
        <w:rPr>
          <w:rFonts w:ascii="Spectral" w:cs="Spectral" w:eastAsia="Spectral" w:hAnsi="Spectral"/>
          <w:color w:val="333333"/>
          <w:sz w:val="24"/>
          <w:szCs w:val="24"/>
          <w:rtl w:val="0"/>
        </w:rPr>
        <w:tab/>
        <w:t xml:space="preserve">The third and final principle is the presentation of yourself for others based on how you believe and imagine someone sees you.  Because I had conflicting views as to how others viewed me, I had two ‘presentations” so to speak. Based on my parents' negative view, I acted negatively.  I was the problem child. I acted out. I argued, fought, yelled, screamed, and threw fits. I was a terror. Any chance I had to cop an attitude, I did. Nobody needed to provoke me. I was a horrible listener, disrespectful, and mean. My attitude was “if they think that was bad, I’ll show them bad.” Every adult other than my parents thought of me positively. I was the golden child. So, at school, or at a friend's house I was perfect... A good listener, respectful, and well mannered. I was more than happy to lend a helping hand, sometimes without being asked. I had good grades, and never had to be disciplined by my teachers. I was the student teachers put next to the new kid on their first day. My friend’s parents always happily welcomed me into their homes. I am my grandparent’s favorite grandchild. I was truly two different children. Two extremes. My teachers were always baffled to hear that I had an attitude problem at home, whereas my parents were always confused as to why I wasn’t that way at school. Ultimately, I reciprocate the energy I receive, still to this day. </w:t>
      </w:r>
    </w:p>
    <w:p w:rsidR="00000000" w:rsidDel="00000000" w:rsidP="00000000" w:rsidRDefault="00000000" w:rsidRPr="00000000" w14:paraId="00000006">
      <w:pPr>
        <w:spacing w:line="480" w:lineRule="auto"/>
        <w:ind w:right="0" w:firstLine="720"/>
        <w:rPr>
          <w:rFonts w:ascii="Spectral" w:cs="Spectral" w:eastAsia="Spectral" w:hAnsi="Spectral"/>
          <w:color w:val="333333"/>
          <w:sz w:val="24"/>
          <w:szCs w:val="24"/>
        </w:rPr>
      </w:pPr>
      <w:r w:rsidDel="00000000" w:rsidR="00000000" w:rsidRPr="00000000">
        <w:rPr>
          <w:rFonts w:ascii="Spectral" w:cs="Spectral" w:eastAsia="Spectral" w:hAnsi="Spectral"/>
          <w:color w:val="333333"/>
          <w:sz w:val="24"/>
          <w:szCs w:val="24"/>
          <w:rtl w:val="0"/>
        </w:rPr>
        <w:t xml:space="preserve">Overall, the concept of the Looking Glass Self has affected me throughout my childhood, and still affects me to this day. The three core principles of the theory have been clearly demonstrated throughout my life. I was seen as good for some people and bad for others. Consequently, I acted good and bad. The conflicting views of me from my parents against the views of other adults caused me to act in two different ways. It is really hard to have a clear cut view of yourself when there are so many different perceptions. Nowadays, my relationship with my parents has completely changed and I am not ill behaved and a pain anymore. The clearest demonstration of the Looking Glass Self for me and others recently is via social media. There is a clear and pressing urge to impress. You want others to view your life as exciting and intriguing. It is all a facade. </w:t>
      </w:r>
    </w:p>
    <w:p w:rsidR="00000000" w:rsidDel="00000000" w:rsidP="00000000" w:rsidRDefault="00000000" w:rsidRPr="00000000" w14:paraId="00000007">
      <w:pPr>
        <w:spacing w:line="480" w:lineRule="auto"/>
        <w:ind w:right="0" w:firstLine="720"/>
        <w:rPr>
          <w:rFonts w:ascii="Spectral" w:cs="Spectral" w:eastAsia="Spectral" w:hAnsi="Spectral"/>
          <w:color w:val="333333"/>
          <w:sz w:val="24"/>
          <w:szCs w:val="24"/>
        </w:rPr>
      </w:pPr>
      <w:r w:rsidDel="00000000" w:rsidR="00000000" w:rsidRPr="00000000">
        <w:rPr>
          <w:rFonts w:ascii="Spectral" w:cs="Spectral" w:eastAsia="Spectral" w:hAnsi="Spectral"/>
          <w:color w:val="333333"/>
          <w:sz w:val="24"/>
          <w:szCs w:val="24"/>
          <w:rtl w:val="0"/>
        </w:rPr>
        <w:t xml:space="preserve">Nobody’s life is perfect. It is truly thought provoking and crazy to think about how we all act in certain ways and base it on others opinions. You are constantly told to just live your life and not care what others think but we are truly a reflection of others opinions whether we want to help it or not. Claiming you don’t care about others opinions is simply untrue. It is inevitable. Throughout my life I have been acting a way in order to appease the opinions and thoughts I assume others have about me. </w:t>
      </w:r>
      <w:r w:rsidDel="00000000" w:rsidR="00000000" w:rsidRPr="00000000">
        <w:rPr>
          <w:rtl w:val="0"/>
        </w:rPr>
      </w:r>
    </w:p>
    <w:p w:rsidR="00000000" w:rsidDel="00000000" w:rsidP="00000000" w:rsidRDefault="00000000" w:rsidRPr="00000000" w14:paraId="00000008">
      <w:pPr>
        <w:spacing w:line="480" w:lineRule="auto"/>
        <w:ind w:left="0" w:right="0" w:firstLine="0"/>
        <w:jc w:val="left"/>
        <w:rPr>
          <w:rFonts w:ascii="Spectral" w:cs="Spectral" w:eastAsia="Spectral" w:hAnsi="Spectral"/>
          <w:i w:val="1"/>
          <w:color w:val="333333"/>
          <w:sz w:val="24"/>
          <w:szCs w:val="24"/>
        </w:rPr>
      </w:pPr>
      <w:r w:rsidDel="00000000" w:rsidR="00000000" w:rsidRPr="00000000">
        <w:rPr>
          <w:rtl w:val="0"/>
        </w:rPr>
      </w:r>
    </w:p>
    <w:p w:rsidR="00000000" w:rsidDel="00000000" w:rsidP="00000000" w:rsidRDefault="00000000" w:rsidRPr="00000000" w14:paraId="00000009">
      <w:pPr>
        <w:spacing w:line="480" w:lineRule="auto"/>
        <w:ind w:left="0" w:right="0" w:firstLine="0"/>
        <w:jc w:val="center"/>
        <w:rPr>
          <w:rFonts w:ascii="Spectral" w:cs="Spectral" w:eastAsia="Spectral" w:hAnsi="Spectral"/>
          <w:color w:val="333333"/>
          <w:sz w:val="24"/>
          <w:szCs w:val="24"/>
        </w:rPr>
      </w:pPr>
      <w:r w:rsidDel="00000000" w:rsidR="00000000" w:rsidRPr="00000000">
        <w:rPr>
          <w:rFonts w:ascii="Spectral" w:cs="Spectral" w:eastAsia="Spectral" w:hAnsi="Spectral"/>
          <w:i w:val="1"/>
          <w:color w:val="333333"/>
          <w:sz w:val="24"/>
          <w:szCs w:val="24"/>
          <w:rtl w:val="0"/>
        </w:rPr>
        <w:t xml:space="preserve">Works Cited</w:t>
      </w:r>
      <w:r w:rsidDel="00000000" w:rsidR="00000000" w:rsidRPr="00000000">
        <w:rPr>
          <w:rtl w:val="0"/>
        </w:rPr>
      </w:r>
    </w:p>
    <w:p w:rsidR="00000000" w:rsidDel="00000000" w:rsidP="00000000" w:rsidRDefault="00000000" w:rsidRPr="00000000" w14:paraId="0000000A">
      <w:pPr>
        <w:numPr>
          <w:ilvl w:val="0"/>
          <w:numId w:val="1"/>
        </w:numPr>
        <w:spacing w:after="240" w:before="240" w:line="480" w:lineRule="auto"/>
        <w:ind w:left="720" w:hanging="360"/>
        <w:rPr>
          <w:rFonts w:ascii="Spectral" w:cs="Spectral" w:eastAsia="Spectral" w:hAnsi="Spectral"/>
          <w:color w:val="333333"/>
          <w:sz w:val="24"/>
          <w:szCs w:val="24"/>
        </w:rPr>
      </w:pPr>
      <w:r w:rsidDel="00000000" w:rsidR="00000000" w:rsidRPr="00000000">
        <w:rPr>
          <w:rFonts w:ascii="Spectral" w:cs="Spectral" w:eastAsia="Spectral" w:hAnsi="Spectral"/>
          <w:color w:val="333333"/>
          <w:sz w:val="24"/>
          <w:szCs w:val="24"/>
          <w:rtl w:val="0"/>
        </w:rPr>
        <w:t xml:space="preserve">Cooley, Charles Horton. “The Looking-Glass Self.” </w:t>
      </w:r>
      <w:r w:rsidDel="00000000" w:rsidR="00000000" w:rsidRPr="00000000">
        <w:rPr>
          <w:rFonts w:ascii="Spectral" w:cs="Spectral" w:eastAsia="Spectral" w:hAnsi="Spectral"/>
          <w:i w:val="1"/>
          <w:color w:val="333333"/>
          <w:sz w:val="24"/>
          <w:szCs w:val="24"/>
          <w:rtl w:val="0"/>
        </w:rPr>
        <w:t xml:space="preserve">Social Media &amp; the Self: An Open Reader</w:t>
      </w:r>
      <w:r w:rsidDel="00000000" w:rsidR="00000000" w:rsidRPr="00000000">
        <w:rPr>
          <w:rFonts w:ascii="Spectral" w:cs="Spectral" w:eastAsia="Spectral" w:hAnsi="Spectral"/>
          <w:color w:val="333333"/>
          <w:sz w:val="24"/>
          <w:szCs w:val="24"/>
          <w:rtl w:val="0"/>
        </w:rPr>
        <w:t xml:space="preserve">, 1902, https://doi.org/10.32376/3f8575cb.73d69f51. </w:t>
      </w:r>
    </w:p>
    <w:p w:rsidR="00000000" w:rsidDel="00000000" w:rsidP="00000000" w:rsidRDefault="00000000" w:rsidRPr="00000000" w14:paraId="0000000B">
      <w:pPr>
        <w:spacing w:line="480" w:lineRule="auto"/>
        <w:ind w:left="0" w:right="0" w:firstLine="0"/>
        <w:rPr>
          <w:rFonts w:ascii="Spectral" w:cs="Spectral" w:eastAsia="Spectral" w:hAnsi="Spectral"/>
          <w:color w:val="333333"/>
          <w:sz w:val="24"/>
          <w:szCs w:val="24"/>
        </w:rPr>
      </w:pPr>
      <w:r w:rsidDel="00000000" w:rsidR="00000000" w:rsidRPr="00000000">
        <w:rPr>
          <w:rtl w:val="0"/>
        </w:rPr>
      </w:r>
    </w:p>
    <w:p w:rsidR="00000000" w:rsidDel="00000000" w:rsidP="00000000" w:rsidRDefault="00000000" w:rsidRPr="00000000" w14:paraId="0000000C">
      <w:pPr>
        <w:spacing w:line="480" w:lineRule="auto"/>
        <w:ind w:firstLine="720"/>
        <w:rPr>
          <w:rFonts w:ascii="Spectral" w:cs="Spectral" w:eastAsia="Spectral" w:hAnsi="Spectral"/>
          <w:color w:val="333333"/>
          <w:sz w:val="24"/>
          <w:szCs w:val="24"/>
        </w:rPr>
      </w:pPr>
      <w:r w:rsidDel="00000000" w:rsidR="00000000" w:rsidRPr="00000000">
        <w:rPr>
          <w:rtl w:val="0"/>
        </w:rPr>
      </w:r>
    </w:p>
    <w:p w:rsidR="00000000" w:rsidDel="00000000" w:rsidP="00000000" w:rsidRDefault="00000000" w:rsidRPr="00000000" w14:paraId="0000000D">
      <w:pPr>
        <w:spacing w:line="480" w:lineRule="auto"/>
        <w:ind w:firstLine="720"/>
        <w:rPr>
          <w:rFonts w:ascii="Spectral" w:cs="Spectral" w:eastAsia="Spectral" w:hAnsi="Spectral"/>
          <w:color w:val="333333"/>
          <w:sz w:val="24"/>
          <w:szCs w:val="24"/>
        </w:rPr>
      </w:pPr>
      <w:r w:rsidDel="00000000" w:rsidR="00000000" w:rsidRPr="00000000">
        <w:rPr>
          <w:rtl w:val="0"/>
        </w:rPr>
      </w:r>
    </w:p>
    <w:p w:rsidR="00000000" w:rsidDel="00000000" w:rsidP="00000000" w:rsidRDefault="00000000" w:rsidRPr="00000000" w14:paraId="0000000E">
      <w:pPr>
        <w:spacing w:line="480" w:lineRule="auto"/>
        <w:ind w:firstLine="720"/>
        <w:rPr>
          <w:rFonts w:ascii="Spectral" w:cs="Spectral" w:eastAsia="Spectral" w:hAnsi="Spectral"/>
          <w:color w:val="333333"/>
          <w:sz w:val="24"/>
          <w:szCs w:val="24"/>
        </w:rPr>
      </w:pPr>
      <w:r w:rsidDel="00000000" w:rsidR="00000000" w:rsidRPr="00000000">
        <w:rPr>
          <w:rtl w:val="0"/>
        </w:rPr>
      </w:r>
    </w:p>
    <w:p w:rsidR="00000000" w:rsidDel="00000000" w:rsidP="00000000" w:rsidRDefault="00000000" w:rsidRPr="00000000" w14:paraId="0000000F">
      <w:pPr>
        <w:spacing w:line="480" w:lineRule="auto"/>
        <w:ind w:left="0" w:firstLine="0"/>
        <w:rPr>
          <w:rFonts w:ascii="Spectral" w:cs="Spectral" w:eastAsia="Spectral" w:hAnsi="Spectral"/>
          <w:color w:val="333333"/>
          <w:sz w:val="24"/>
          <w:szCs w:val="24"/>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0">
    <w:pPr>
      <w:jc w:val="right"/>
      <w:rPr>
        <w:rFonts w:ascii="Spectral" w:cs="Spectral" w:eastAsia="Spectral" w:hAnsi="Spectral"/>
        <w:sz w:val="24"/>
        <w:szCs w:val="24"/>
      </w:rPr>
    </w:pPr>
    <w:r w:rsidDel="00000000" w:rsidR="00000000" w:rsidRPr="00000000">
      <w:rPr>
        <w:rFonts w:ascii="Spectral" w:cs="Spectral" w:eastAsia="Spectral" w:hAnsi="Spectral"/>
        <w:sz w:val="24"/>
        <w:szCs w:val="24"/>
      </w:rPr>
      <w:fldChar w:fldCharType="begin"/>
      <w:instrText xml:space="preserve">PAGE</w:instrText>
      <w:fldChar w:fldCharType="separate"/>
      <w:fldChar w:fldCharType="end"/>
    </w:r>
    <w:r w:rsidDel="00000000" w:rsidR="00000000" w:rsidRPr="00000000">
      <w:rPr>
        <w:rFonts w:ascii="Spectral" w:cs="Spectral" w:eastAsia="Spectral" w:hAnsi="Spectral"/>
        <w:sz w:val="24"/>
        <w:szCs w:val="24"/>
        <w:rtl w:val="0"/>
      </w:rPr>
      <w:t xml:space="preserve"> Mangone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1">
    <w:pPr>
      <w:spacing w:line="48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Isabella Mangone                                                                                                        </w:t>
    </w:r>
    <w:r w:rsidDel="00000000" w:rsidR="00000000" w:rsidRPr="00000000">
      <w:rPr>
        <w:rFonts w:ascii="Spectral" w:cs="Spectral" w:eastAsia="Spectral" w:hAnsi="Spectral"/>
        <w:sz w:val="24"/>
        <w:szCs w:val="24"/>
      </w:rPr>
      <w:fldChar w:fldCharType="begin"/>
      <w:instrText xml:space="preserve">PAGE</w:instrText>
      <w:fldChar w:fldCharType="separate"/>
      <w:fldChar w:fldCharType="end"/>
    </w:r>
    <w:r w:rsidDel="00000000" w:rsidR="00000000" w:rsidRPr="00000000">
      <w:rPr>
        <w:rFonts w:ascii="Spectral" w:cs="Spectral" w:eastAsia="Spectral" w:hAnsi="Spectral"/>
        <w:sz w:val="24"/>
        <w:szCs w:val="24"/>
        <w:rtl w:val="0"/>
      </w:rPr>
      <w:t xml:space="preserve"> Mangone</w:t>
    </w:r>
  </w:p>
  <w:p w:rsidR="00000000" w:rsidDel="00000000" w:rsidP="00000000" w:rsidRDefault="00000000" w:rsidRPr="00000000" w14:paraId="00000012">
    <w:pPr>
      <w:spacing w:line="48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Professor Elliot</w:t>
    </w:r>
  </w:p>
  <w:p w:rsidR="00000000" w:rsidDel="00000000" w:rsidP="00000000" w:rsidRDefault="00000000" w:rsidRPr="00000000" w14:paraId="00000013">
    <w:pPr>
      <w:spacing w:line="48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SOC 105-002</w:t>
    </w:r>
  </w:p>
  <w:p w:rsidR="00000000" w:rsidDel="00000000" w:rsidP="00000000" w:rsidRDefault="00000000" w:rsidRPr="00000000" w14:paraId="00000014">
    <w:pPr>
      <w:spacing w:line="480" w:lineRule="auto"/>
      <w:rPr/>
    </w:pPr>
    <w:r w:rsidDel="00000000" w:rsidR="00000000" w:rsidRPr="00000000">
      <w:rPr>
        <w:rFonts w:ascii="Spectral" w:cs="Spectral" w:eastAsia="Spectral" w:hAnsi="Spectral"/>
        <w:sz w:val="24"/>
        <w:szCs w:val="24"/>
        <w:rtl w:val="0"/>
      </w:rPr>
      <w:t xml:space="preserve">12 October 2021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