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24"/>
          <w:sz-cs w:val="24"/>
          <w:b/>
        </w:rPr>
        <w:t xml:space="preserve">4842</w:t>
      </w:r>
    </w:p>
    <w:p>
      <w:pPr>
        <w:bidi/>
        <w:spacing w:after="160"/>
      </w:pPr>
      <w:r>
        <w:rPr>
          <w:rFonts w:ascii="Times New Roman" w:hAnsi="Times New Roman" w:cs="Times New Roman"/>
          <w:sz w:val="24"/>
          <w:sz-cs w:val="24"/>
        </w:rPr>
        <w:t xml:space="preserve">Goffman breaks down “the self” into two main parts; the performance and the character. Before we get into the separate parts, it’s important to understand “the self” as a whole. According to Goffman, there is no “true self,” but instead it’s a consolidated illusion we’re constantly changing and putting on. “The self” provides us with the necessary resources to act suitably when presented with a stimulus. While “the self” provides us with these assets, it can also be a product of the performance we’re putting on. With that said, the performance is the production we put on and maintain while presenting ourselves to diverse audiences. The performance also varies depending on who the spectators are. For example, we typically act differently at school or work compared to when we’re with our friends. This brings us into the character, which is the outcome of the performance. “The self” includes the psychobiology of our personality whereas the character is the way we perform to leave a certain impression on people. The character allows us to control how the audience will react to us because we attempt to produce reactions as if we’re an outsider looking in. With these parts of the self-production working simultaneously, it allows us to correctly acknowledge a stimulus. </w:t>
      </w:r>
    </w:p>
    <w:p>
      <w:pPr>
        <w:bidi/>
        <w:spacing w:after="160"/>
      </w:pPr>
      <w:r>
        <w:rPr>
          <w:rFonts w:ascii="Times New Roman" w:hAnsi="Times New Roman" w:cs="Times New Roman"/>
          <w:sz w:val="24"/>
          <w:sz-cs w:val="24"/>
        </w:rPr>
        <w:t xml:space="preserve">While Goffman breaks “the self” into two parts, James divides it into four main parts; the material self, social self, spiritual self and the pure ego. James feels the total of a man’s self consists of everything he can call his. Not just his body or thoughts, but everything he physically owns and anything that gives him some type of emotion. The Material self is the physical aspects of one’s life they identify with, such as their clothes, cars, house, etc. The Social self is how peers view us and our role in a specific context. The Spiritual self consists of our beliefs or values, consistency in our reaction to stimulus and our relative emotions or behaviors. The Pure Ego is the most comfortable we can get; it’s our unseen essence and how an individual views themself. Using these four categories, James divides aspects of our personality into being a part of the “me” or the “I”. The “me” is our response to external stimuli, and how our interactions create the experience of the self. The “me” is also referred to as our social self; how we act in social situations. While the “I” is our answer to how others view us and what we’ve learned subconsciously from interactions with people. </w:t>
      </w:r>
    </w:p>
    <w:p>
      <w:pPr>
        <w:bidi/>
        <w:spacing w:after="160"/>
      </w:pPr>
      <w:r>
        <w:rPr>
          <w:rFonts w:ascii="Times New Roman" w:hAnsi="Times New Roman" w:cs="Times New Roman"/>
          <w:sz w:val="24"/>
          <w:sz-cs w:val="24"/>
        </w:rPr>
        <w:t xml:space="preserve">Between Goffman’s and James’ concepts, we’re able to use several aspects of each to reply to stimuli accordingly depending on what type of social situation we’re in. Goffman believes we adjust our behaviors to act a certain way in social settings while James feels we use our own emotions to react to an event. By using these techniques together, we can appropriate the correct response to any factors we encounter outside or inside the body. </w:t>
      </w:r>
      <w:r>
        <w:rPr>
          <w:rFonts w:ascii="Times New Roman" w:hAnsi="Times New Roman" w:cs="Times New Roman"/>
          <w:sz w:val="24"/>
          <w:sz-cs w:val="24"/>
          <w:u w:val="single"/>
        </w:rPr>
        <w:t xml:space="preserve">For example, social media has a huge influence on everyone, and it’s where people seek the approval of others. When anyone makes a post on social media, they first embody the performer; posting something they feel others will enjoy. Then the character and social self come into play because depending on the feedback we get; we’ll act in response to that. The character and social self are concerned with how others view us, and they generate our justification of our actions. Next comes the pure ego, which will help us connect what we’ve learned from this interaction to our past, present and future presence on social media. We may not realize it, but we’re constantly enduring social and emotional stimuli to determine our response based on how we feel others will perceive it. </w:t>
      </w:r>
    </w:p>
    <w:p>
      <w:pPr>
        <w:bidi/>
        <w:spacing w:after="160"/>
      </w:pPr>
      <w:r>
        <w:rPr>
          <w:rFonts w:ascii="Times New Roman" w:hAnsi="Times New Roman" w:cs="Times New Roman"/>
          <w:sz w:val="24"/>
          <w:sz-cs w:val="24"/>
          <w:u w:val="single"/>
        </w:rPr>
        <w:t xml:space="preserve">Interacting with and reacting to people is part of our day-to-day life, even if we don’t realize it. As much as humans try not to, we care about what others think of us, and we’re constantly trying to act the way we want others to perceive us. Overall, the evidence shown throughout Goffman and James’ work provides us with an appreciation for our reaction to social and emotional stimuli. Using a combination of Goffman and James’ concepts, we can better understand how we form connections with others based upon our actions. </w:t>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 Lexi Riley</dc:creator>
</cp:coreProperties>
</file>

<file path=docProps/meta.xml><?xml version="1.0" encoding="utf-8"?>
<meta xmlns="http://schemas.apple.com/cocoa/2006/metadata">
  <generator>CocoaOOXMLWriter/2575.7</generator>
</meta>
</file>