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AB613" w14:textId="6F68537D" w:rsidR="00D77C83" w:rsidRPr="00765084" w:rsidRDefault="00765084" w:rsidP="00B3065C">
      <w:pPr>
        <w:spacing w:after="0" w:line="480" w:lineRule="auto"/>
        <w:rPr>
          <w:rFonts w:ascii="Times New Roman" w:hAnsi="Times New Roman" w:cs="Times New Roman"/>
          <w:sz w:val="24"/>
          <w:szCs w:val="24"/>
        </w:rPr>
      </w:pPr>
      <w:r w:rsidRPr="00765084">
        <w:rPr>
          <w:rFonts w:ascii="Times New Roman" w:hAnsi="Times New Roman" w:cs="Times New Roman"/>
          <w:sz w:val="24"/>
          <w:szCs w:val="24"/>
        </w:rPr>
        <w:t>3222</w:t>
      </w:r>
    </w:p>
    <w:p w14:paraId="2051FEDF" w14:textId="496CF0AA" w:rsidR="00765084" w:rsidRDefault="00941094" w:rsidP="00B3065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What We See in Ourselves</w:t>
      </w:r>
    </w:p>
    <w:p w14:paraId="451EBD29" w14:textId="64E4A45F" w:rsidR="004A7C8B" w:rsidRDefault="004A7C8B" w:rsidP="00B3065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Goffman offers “The Presentation of Self” and draws upon </w:t>
      </w:r>
      <w:r w:rsidR="008B4396">
        <w:rPr>
          <w:rFonts w:ascii="Times New Roman" w:hAnsi="Times New Roman" w:cs="Times New Roman"/>
          <w:sz w:val="24"/>
          <w:szCs w:val="24"/>
        </w:rPr>
        <w:t>the</w:t>
      </w:r>
      <w:r>
        <w:rPr>
          <w:rFonts w:ascii="Times New Roman" w:hAnsi="Times New Roman" w:cs="Times New Roman"/>
          <w:sz w:val="24"/>
          <w:szCs w:val="24"/>
        </w:rPr>
        <w:t xml:space="preserve"> stage to describe oneself. He uses this stage to create a comparison between </w:t>
      </w:r>
      <w:r w:rsidR="007B20EE">
        <w:rPr>
          <w:rFonts w:ascii="Times New Roman" w:hAnsi="Times New Roman" w:cs="Times New Roman"/>
          <w:sz w:val="24"/>
          <w:szCs w:val="24"/>
        </w:rPr>
        <w:t>an actor in a play to the conscious creation of one’s personality towards others. Goffman states, “</w:t>
      </w:r>
      <w:r w:rsidR="007B20EE">
        <w:rPr>
          <w:rFonts w:ascii="Times New Roman" w:hAnsi="Times New Roman" w:cs="Times New Roman"/>
          <w:sz w:val="24"/>
          <w:szCs w:val="24"/>
        </w:rPr>
        <w:t>A correctly staged and performed scene leads the audience to impute a self to a performed character, but in this imputation—this self—is a product of a scene that comes off, and is not a cause of it</w:t>
      </w:r>
      <w:r w:rsidR="007B20EE">
        <w:rPr>
          <w:rFonts w:ascii="Times New Roman" w:hAnsi="Times New Roman" w:cs="Times New Roman"/>
          <w:sz w:val="24"/>
          <w:szCs w:val="24"/>
        </w:rPr>
        <w:t xml:space="preserve">.” Goffman uses this evidence to elaborate on how the self that others see is more or less the product of an act. He goes on to mention that the way we conduct ourselves in front of others is purely for the </w:t>
      </w:r>
      <w:r w:rsidR="00AD1ACB">
        <w:rPr>
          <w:rFonts w:ascii="Times New Roman" w:hAnsi="Times New Roman" w:cs="Times New Roman"/>
          <w:sz w:val="24"/>
          <w:szCs w:val="24"/>
        </w:rPr>
        <w:t>conformity</w:t>
      </w:r>
      <w:r w:rsidR="007B20EE">
        <w:rPr>
          <w:rFonts w:ascii="Times New Roman" w:hAnsi="Times New Roman" w:cs="Times New Roman"/>
          <w:sz w:val="24"/>
          <w:szCs w:val="24"/>
        </w:rPr>
        <w:t xml:space="preserve"> of those others. The stage creates a movement that can be discredited as easily as it can be credited. This is in pure contrast to the way we live, think, and breathe. We are one, singular, living being. However, the action</w:t>
      </w:r>
      <w:r w:rsidR="00AD1ACB">
        <w:rPr>
          <w:rFonts w:ascii="Times New Roman" w:hAnsi="Times New Roman" w:cs="Times New Roman"/>
          <w:sz w:val="24"/>
          <w:szCs w:val="24"/>
        </w:rPr>
        <w:t>s</w:t>
      </w:r>
      <w:r w:rsidR="007B20EE">
        <w:rPr>
          <w:rFonts w:ascii="Times New Roman" w:hAnsi="Times New Roman" w:cs="Times New Roman"/>
          <w:sz w:val="24"/>
          <w:szCs w:val="24"/>
        </w:rPr>
        <w:t xml:space="preserve"> we choose to take within social settings are forged in the moment to suit the conditions of those around us.</w:t>
      </w:r>
      <w:r w:rsidR="000446F0">
        <w:rPr>
          <w:rFonts w:ascii="Times New Roman" w:hAnsi="Times New Roman" w:cs="Times New Roman"/>
          <w:sz w:val="24"/>
          <w:szCs w:val="24"/>
        </w:rPr>
        <w:t xml:space="preserve"> This, in turn, creates the act to which Goffman refers.</w:t>
      </w:r>
    </w:p>
    <w:p w14:paraId="6E80E00E" w14:textId="4CF9AC7B" w:rsidR="007B20EE" w:rsidRDefault="007B20EE" w:rsidP="00B3065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Cooley and Goffman both draw on the basic fact that humans, truly and subconsciously, care what others think. This idea is in direct tandem with the passages from both authors. The looking glass self is an idea established on assuming what others think, while the stage is the action of changing the way you act around others to suit what they think of you. Afterall, it would take a thorough analysis of how you are seen in order to act properly. Let’s say, for example, you go to your significant other’s house for a dinner, and </w:t>
      </w:r>
      <w:r w:rsidR="00AD1ACB">
        <w:rPr>
          <w:rFonts w:ascii="Times New Roman" w:hAnsi="Times New Roman" w:cs="Times New Roman"/>
          <w:sz w:val="24"/>
          <w:szCs w:val="24"/>
        </w:rPr>
        <w:t>the father</w:t>
      </w:r>
      <w:r>
        <w:rPr>
          <w:rFonts w:ascii="Times New Roman" w:hAnsi="Times New Roman" w:cs="Times New Roman"/>
          <w:sz w:val="24"/>
          <w:szCs w:val="24"/>
        </w:rPr>
        <w:t xml:space="preserve"> is constantly looking at you with furrowed eyebrows. This, in one’s mind, might generate </w:t>
      </w:r>
      <w:r w:rsidR="008B4396">
        <w:rPr>
          <w:rFonts w:ascii="Times New Roman" w:hAnsi="Times New Roman" w:cs="Times New Roman"/>
          <w:sz w:val="24"/>
          <w:szCs w:val="24"/>
        </w:rPr>
        <w:t xml:space="preserve">an uneasy feeling. It would be clear to see that the father does not like you. This reaction may involve you bringing up possible real-world achievements. Maybe you might mention that you are pursuing a medical degree to impress him. You will use better manners at the table. These are prime examples of both the looking glass self and Goffman’s stage. You are assuming the way the father is perceiving you, even though he hasn’t actually said anything about not liking you. You are also </w:t>
      </w:r>
      <w:r w:rsidR="008B4396">
        <w:rPr>
          <w:rFonts w:ascii="Times New Roman" w:hAnsi="Times New Roman" w:cs="Times New Roman"/>
          <w:sz w:val="24"/>
          <w:szCs w:val="24"/>
        </w:rPr>
        <w:lastRenderedPageBreak/>
        <w:t>changing your act</w:t>
      </w:r>
      <w:r w:rsidR="00AD1ACB">
        <w:rPr>
          <w:rFonts w:ascii="Times New Roman" w:hAnsi="Times New Roman" w:cs="Times New Roman"/>
          <w:sz w:val="24"/>
          <w:szCs w:val="24"/>
        </w:rPr>
        <w:t>, civility,</w:t>
      </w:r>
      <w:r w:rsidR="008B4396">
        <w:rPr>
          <w:rFonts w:ascii="Times New Roman" w:hAnsi="Times New Roman" w:cs="Times New Roman"/>
          <w:sz w:val="24"/>
          <w:szCs w:val="24"/>
        </w:rPr>
        <w:t xml:space="preserve"> and speech patterns based on your lack of comfort around this individual.</w:t>
      </w:r>
    </w:p>
    <w:p w14:paraId="52B90AAA" w14:textId="32149F90" w:rsidR="007B20EE" w:rsidRPr="00765084" w:rsidRDefault="000446F0" w:rsidP="00B3065C">
      <w:pPr>
        <w:spacing w:after="0" w:line="480" w:lineRule="auto"/>
        <w:rPr>
          <w:rFonts w:ascii="Times New Roman" w:hAnsi="Times New Roman" w:cs="Times New Roman"/>
          <w:sz w:val="24"/>
          <w:szCs w:val="24"/>
        </w:rPr>
      </w:pPr>
      <w:r>
        <w:rPr>
          <w:rFonts w:ascii="Times New Roman" w:hAnsi="Times New Roman" w:cs="Times New Roman"/>
          <w:sz w:val="24"/>
          <w:szCs w:val="24"/>
        </w:rPr>
        <w:tab/>
        <w:t>Both Goffman and Cooley work hand-in-hand to show how individuals change the way they act around others based on how they are viewed. These authors are highly effective in their views because they directly build upon each other. Cooley proposes the original view of others, while Goffman proposes the way we shape ourselves to correlate to these viewpoints. This is why we feel certain emotions towards how others view us, and it is why we try to adhere to or correct those emotions in the real world. Both Goffman and Cooley essentially display that the way we act is not truly the way we are, since we live in a world of constant judgement. Any action may be seen by others as positive or negative, and subsequently corrected or embraced.</w:t>
      </w:r>
    </w:p>
    <w:sectPr w:rsidR="007B20EE" w:rsidRPr="0076508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72C"/>
    <w:rsid w:val="000446F0"/>
    <w:rsid w:val="0027172C"/>
    <w:rsid w:val="004A7C8B"/>
    <w:rsid w:val="00765084"/>
    <w:rsid w:val="007B20EE"/>
    <w:rsid w:val="008B4396"/>
    <w:rsid w:val="00941094"/>
    <w:rsid w:val="00A74D34"/>
    <w:rsid w:val="00AD1ACB"/>
    <w:rsid w:val="00B3065C"/>
    <w:rsid w:val="00BE2C14"/>
    <w:rsid w:val="00D7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A5F5"/>
  <w15:chartTrackingRefBased/>
  <w15:docId w15:val="{434C5CAA-8CD1-4FDD-9350-5C8798F6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Hagle, Bryce Benjamin</dc:creator>
  <cp:keywords/>
  <dc:description/>
  <cp:lastModifiedBy>Hagle, Bryce Benjamin</cp:lastModifiedBy>
  <cp:revision>3</cp:revision>
  <dcterms:created xsi:type="dcterms:W3CDTF">2024-02-09T00:05:00Z</dcterms:created>
  <dcterms:modified xsi:type="dcterms:W3CDTF">2024-02-09T01:12:00Z</dcterms:modified>
</cp:coreProperties>
</file>