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480"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Graded Essay 4</w:t>
      </w:r>
    </w:p>
    <w:p>
      <w:pPr>
        <w:pStyle w:val="Body"/>
        <w:spacing w:line="480" w:lineRule="auto"/>
        <w:rPr>
          <w:rFonts w:ascii="Times New Roman" w:cs="Times New Roman" w:hAnsi="Times New Roman" w:eastAsia="Times New Roman"/>
          <w:sz w:val="24"/>
          <w:szCs w:val="24"/>
        </w:rPr>
      </w:pPr>
      <w:r>
        <w:rPr>
          <w:rFonts w:ascii="Times New Roman" w:cs="Times New Roman" w:hAnsi="Times New Roman" w:eastAsia="Times New Roman"/>
          <w:sz w:val="24"/>
          <w:szCs w:val="24"/>
          <w:rtl w:val="0"/>
        </w:rPr>
        <w:tab/>
        <w:t>The</w:t>
      </w:r>
      <w:r>
        <w:rPr>
          <w:rFonts w:ascii="Times New Roman" w:hAnsi="Times New Roman"/>
          <w:i w:val="1"/>
          <w:iCs w:val="1"/>
          <w:sz w:val="24"/>
          <w:szCs w:val="24"/>
          <w:rtl w:val="0"/>
          <w:lang w:val="en-US"/>
        </w:rPr>
        <w:t xml:space="preserve"> Presentation of Self </w:t>
      </w:r>
      <w:r>
        <w:rPr>
          <w:rFonts w:ascii="Times New Roman" w:hAnsi="Times New Roman"/>
          <w:sz w:val="24"/>
          <w:szCs w:val="24"/>
          <w:rtl w:val="0"/>
          <w:lang w:val="en-US"/>
        </w:rPr>
        <w:t>highlighted the idea that many of life</w:t>
      </w:r>
      <w:r>
        <w:rPr>
          <w:rFonts w:ascii="Times New Roman" w:hAnsi="Times New Roman" w:hint="default"/>
          <w:sz w:val="24"/>
          <w:szCs w:val="24"/>
          <w:rtl w:val="0"/>
          <w:lang w:val="en-US"/>
        </w:rPr>
        <w:t>’</w:t>
      </w:r>
      <w:r>
        <w:rPr>
          <w:rFonts w:ascii="Times New Roman" w:hAnsi="Times New Roman"/>
          <w:sz w:val="24"/>
          <w:szCs w:val="24"/>
          <w:rtl w:val="0"/>
          <w:lang w:val="en-US"/>
        </w:rPr>
        <w:t>s interactions mirror a stage-actor relationship. The individual is the actor and the stage is society. Every actor presents him or herself on a stage, wether that stage be before friends, acquaintances or strangers. Goffman saw this as an extremely common situation, which everyone participate in unconsciously or consciously. In his view, behaviors were shaped around responses to performances. More specifically, other</w:t>
      </w:r>
      <w:r>
        <w:rPr>
          <w:rFonts w:ascii="Times New Roman" w:hAnsi="Times New Roman" w:hint="default"/>
          <w:sz w:val="24"/>
          <w:szCs w:val="24"/>
          <w:rtl w:val="0"/>
          <w:lang w:val="en-US"/>
        </w:rPr>
        <w:t>’</w:t>
      </w:r>
      <w:r>
        <w:rPr>
          <w:rFonts w:ascii="Times New Roman" w:hAnsi="Times New Roman"/>
          <w:sz w:val="24"/>
          <w:szCs w:val="24"/>
          <w:rtl w:val="0"/>
          <w:lang w:val="en-US"/>
        </w:rPr>
        <w:t xml:space="preserve">s perceptions of us begin to form a collective impression of who we are in society. </w:t>
      </w:r>
    </w:p>
    <w:p>
      <w:pPr>
        <w:pStyle w:val="Body"/>
        <w:spacing w:line="480" w:lineRule="auto"/>
      </w:pPr>
      <w:r>
        <w:rPr>
          <w:rFonts w:ascii="Times New Roman" w:cs="Times New Roman" w:hAnsi="Times New Roman" w:eastAsia="Times New Roman"/>
          <w:sz w:val="24"/>
          <w:szCs w:val="24"/>
          <w:rtl w:val="0"/>
        </w:rPr>
        <w:tab/>
        <w:t xml:space="preserve">Goffman was groundbreaking in his ideas in the </w:t>
      </w:r>
      <w:r>
        <w:rPr>
          <w:rFonts w:ascii="Times New Roman" w:hAnsi="Times New Roman"/>
          <w:i w:val="1"/>
          <w:iCs w:val="1"/>
          <w:sz w:val="24"/>
          <w:szCs w:val="24"/>
          <w:rtl w:val="0"/>
          <w:lang w:val="en-US"/>
        </w:rPr>
        <w:t xml:space="preserve">Presentation of Self. </w:t>
      </w:r>
      <w:r>
        <w:rPr>
          <w:rFonts w:ascii="Times New Roman" w:hAnsi="Times New Roman"/>
          <w:sz w:val="24"/>
          <w:szCs w:val="24"/>
          <w:rtl w:val="0"/>
          <w:lang w:val="en-US"/>
        </w:rPr>
        <w:t>Harari further expounded upon the ties between Goffman</w:t>
      </w:r>
      <w:r>
        <w:rPr>
          <w:rFonts w:ascii="Times New Roman" w:hAnsi="Times New Roman" w:hint="default"/>
          <w:sz w:val="24"/>
          <w:szCs w:val="24"/>
          <w:rtl w:val="0"/>
          <w:lang w:val="en-US"/>
        </w:rPr>
        <w:t>’</w:t>
      </w:r>
      <w:r>
        <w:rPr>
          <w:rFonts w:ascii="Times New Roman" w:hAnsi="Times New Roman"/>
          <w:sz w:val="24"/>
          <w:szCs w:val="24"/>
          <w:rtl w:val="0"/>
          <w:lang w:val="en-US"/>
        </w:rPr>
        <w:t>s ideas and modern technological advances. With this insight, we can see a clear indication of small community degradation due to global communities beginning to uptick. Moreover, modern individuals have invested significant time and energy into their personal performance on global stages such as social media. The question still appears as, will we use new technology to increase community or watch as traditional communities degrade due to modern performances of individuals on the global stage?</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