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1839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                    Strategy</w:t>
      </w:r>
    </w:p>
    <w:p w14:paraId="7914017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------------------  ----------</w:t>
      </w:r>
    </w:p>
    <w:p w14:paraId="0F8A4739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Start Period        2014-11-21</w:t>
      </w:r>
    </w:p>
    <w:p w14:paraId="46DB005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End Period          2022-06-07</w:t>
      </w:r>
    </w:p>
    <w:p w14:paraId="5AA8F101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Risk-Free Rate      0.0%</w:t>
      </w:r>
    </w:p>
    <w:p w14:paraId="1E32A6A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Time in Market      43.0%</w:t>
      </w:r>
    </w:p>
    <w:p w14:paraId="18312998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3115718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Cumulative Return   16,758.79%</w:t>
      </w:r>
    </w:p>
    <w:p w14:paraId="1EB1228F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CAGR</w:t>
      </w:r>
      <w:r w:rsidRPr="00312277">
        <w:rPr>
          <w:rFonts w:ascii="PMingLiU" w:eastAsia="PMingLiU" w:hAnsi="PMingLiU" w:cs="PMingLiU" w:hint="eastAsia"/>
          <w:sz w:val="20"/>
          <w:szCs w:val="20"/>
          <w:lang w:eastAsia="en-AU"/>
        </w:rPr>
        <w:t>﹪</w:t>
      </w: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              97.25%</w:t>
      </w:r>
    </w:p>
    <w:p w14:paraId="0C878B9D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4703BA56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Sharpe              1.34</w:t>
      </w:r>
    </w:p>
    <w:p w14:paraId="751046D6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Prob. Sharpe </w:t>
      </w:r>
      <w:proofErr w:type="gram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Ratio  100.0</w:t>
      </w:r>
      <w:proofErr w:type="gramEnd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%</w:t>
      </w:r>
    </w:p>
    <w:p w14:paraId="0C7A7888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proofErr w:type="spell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Sortino</w:t>
      </w:r>
      <w:proofErr w:type="spellEnd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             2.12</w:t>
      </w:r>
    </w:p>
    <w:p w14:paraId="516EA563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proofErr w:type="spell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Sortino</w:t>
      </w:r>
      <w:proofErr w:type="spellEnd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/√2          1.5</w:t>
      </w:r>
    </w:p>
    <w:p w14:paraId="1CCBB8B5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Omega               1.47</w:t>
      </w:r>
    </w:p>
    <w:p w14:paraId="4E79C741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30DDD7BD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Max Drawdown        -40.32%</w:t>
      </w:r>
    </w:p>
    <w:p w14:paraId="49AA404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Longest DD Days     509</w:t>
      </w:r>
    </w:p>
    <w:p w14:paraId="2371D79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61687AD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Gain/Pain Ratio     0.47</w:t>
      </w:r>
    </w:p>
    <w:p w14:paraId="003E8DA4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Gain/Pain (1M)      3.59</w:t>
      </w:r>
    </w:p>
    <w:p w14:paraId="7ACC6AC5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0F290F7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Payoff Ratio        1.06</w:t>
      </w:r>
    </w:p>
    <w:p w14:paraId="3544034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Profit Factor       1.47</w:t>
      </w:r>
    </w:p>
    <w:p w14:paraId="0D3F9976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Common Sense </w:t>
      </w:r>
      <w:proofErr w:type="gram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Ratio  1.93</w:t>
      </w:r>
      <w:proofErr w:type="gramEnd"/>
    </w:p>
    <w:p w14:paraId="5BEEFA5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CPC Index           0.9</w:t>
      </w:r>
    </w:p>
    <w:p w14:paraId="7A06B77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Tail Ratio          1.31</w:t>
      </w:r>
    </w:p>
    <w:p w14:paraId="6EB94497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Outlier Win Ratio   11.86</w:t>
      </w:r>
    </w:p>
    <w:p w14:paraId="54895881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Outlier Loss </w:t>
      </w:r>
      <w:proofErr w:type="gram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Ratio  3.01</w:t>
      </w:r>
      <w:proofErr w:type="gramEnd"/>
    </w:p>
    <w:p w14:paraId="34152C40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2B4F4F7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MTD                 0.0%</w:t>
      </w:r>
    </w:p>
    <w:p w14:paraId="1CA9701D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3M                  -10.47%</w:t>
      </w:r>
    </w:p>
    <w:p w14:paraId="2B3ECC1F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6M                  -10.47%</w:t>
      </w:r>
    </w:p>
    <w:p w14:paraId="232994F5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YTD                 -10.47%</w:t>
      </w:r>
    </w:p>
    <w:p w14:paraId="0D4450BA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1Y                  -8.4%</w:t>
      </w:r>
    </w:p>
    <w:p w14:paraId="10D99B42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3Y (ann.)           49.35%</w:t>
      </w:r>
    </w:p>
    <w:p w14:paraId="0725E27C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5Y (ann.)           98.81%</w:t>
      </w:r>
    </w:p>
    <w:p w14:paraId="536E68AA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10Y (ann.)          97.25%</w:t>
      </w:r>
    </w:p>
    <w:p w14:paraId="4DB235BF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All-time (ann.)     97.25%</w:t>
      </w:r>
    </w:p>
    <w:p w14:paraId="48C4C11E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</w:p>
    <w:p w14:paraId="3F3188D8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Avg. Drawdown       -9.52%</w:t>
      </w:r>
    </w:p>
    <w:p w14:paraId="6A5BA45A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 xml:space="preserve">Avg. Drawdown </w:t>
      </w:r>
      <w:proofErr w:type="gramStart"/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Days  41</w:t>
      </w:r>
      <w:proofErr w:type="gramEnd"/>
    </w:p>
    <w:p w14:paraId="58BD0163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Recovery Factor     415.7</w:t>
      </w:r>
    </w:p>
    <w:p w14:paraId="65EB13FF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Ulcer Index         0.22</w:t>
      </w:r>
    </w:p>
    <w:p w14:paraId="066B0019" w14:textId="77777777" w:rsidR="00A36C6A" w:rsidRPr="00312277" w:rsidRDefault="00A36C6A" w:rsidP="00A36C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</w:pPr>
      <w:r w:rsidRPr="00312277">
        <w:rPr>
          <w:rFonts w:ascii="var(--jp-code-font-family)" w:eastAsia="Times New Roman" w:hAnsi="var(--jp-code-font-family)" w:cs="Courier New"/>
          <w:sz w:val="20"/>
          <w:szCs w:val="20"/>
          <w:lang w:eastAsia="en-AU"/>
        </w:rPr>
        <w:t>Serenity Index      53.22</w:t>
      </w:r>
    </w:p>
    <w:p w14:paraId="332FF6CD" w14:textId="77777777" w:rsidR="00440D15" w:rsidRDefault="00A36C6A"/>
    <w:sectPr w:rsidR="0044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NzI1sLQ0MjS3tLRU0lEKTi0uzszPAykwrAUAvYLPfSwAAAA="/>
  </w:docVars>
  <w:rsids>
    <w:rsidRoot w:val="00A36C6A"/>
    <w:rsid w:val="000223E1"/>
    <w:rsid w:val="00497C2D"/>
    <w:rsid w:val="00A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E54"/>
  <w15:chartTrackingRefBased/>
  <w15:docId w15:val="{1F8EC947-E4A3-45E6-9274-F53E0FC1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Evans</dc:creator>
  <cp:keywords/>
  <dc:description/>
  <cp:lastModifiedBy>Luke Evans</cp:lastModifiedBy>
  <cp:revision>1</cp:revision>
  <dcterms:created xsi:type="dcterms:W3CDTF">2022-06-07T10:48:00Z</dcterms:created>
  <dcterms:modified xsi:type="dcterms:W3CDTF">2022-06-07T10:51:00Z</dcterms:modified>
</cp:coreProperties>
</file>