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80"/>
        <w:jc w:val="center"/>
      </w:pPr>
      <w:r>
        <w:rPr>
          <w:b/>
          <w:bCs/>
          <w:color w:val="2C5F2D"/>
          <w:sz w:val="40"/>
          <w:szCs w:val="40"/>
        </w:rPr>
        <w:t xml:space="preserve">How BSP Interest Rate Decisions Move</w:t>
      </w:r>
    </w:p>
    <w:p>
      <w:pPr>
        <w:spacing w:after="320"/>
        <w:jc w:val="center"/>
      </w:pPr>
      <w:r>
        <w:rPr>
          <w:b/>
          <w:bCs/>
          <w:color w:val="2C5F2D"/>
          <w:sz w:val="40"/>
          <w:szCs w:val="40"/>
        </w:rPr>
        <w:t xml:space="preserve">Philippine Home Prices and Mortgage Costs</w:t>
      </w:r>
    </w:p>
    <w:p>
      <w:pPr>
        <w:spacing w:after="500"/>
        <w:jc w:val="center"/>
      </w:pPr>
      <w:r>
        <w:rPr>
          <w:i/>
          <w:iCs/>
          <w:color w:val="595959"/>
          <w:sz w:val="24"/>
          <w:szCs w:val="24"/>
        </w:rPr>
        <w:t xml:space="preserve">An Empirical Transmission Study: NCR &amp; Areas Outside NCR, by Property Type</w:t>
      </w:r>
    </w:p>
    <w:p>
      <w:pPr>
        <w:spacing w:after="120"/>
        <w:jc w:val="center"/>
      </w:pPr>
      <w:r>
        <w:rPr>
          <w:color w:val="595959"/>
          <w:sz w:val="20"/>
          <w:szCs w:val="20"/>
        </w:rPr>
        <w:t xml:space="preserve">Sample period: Q1 2018 – Q2 2026  |  Panel: 8 region × property-type series, 272 observations</w:t>
      </w:r>
    </w:p>
    <w:p>
      <w:pPr>
        <w:spacing w:after="120"/>
        <w:jc w:val="center"/>
      </w:pPr>
      <w:r>
        <w:rPr>
          <w:color w:val="595959"/>
          <w:sz w:val="20"/>
          <w:szCs w:val="20"/>
        </w:rPr>
        <w:t xml:space="preserve">Methods: Fixed-effects panel local projections (wild cluster bootstrap) + Bayesian hierarchical shrinkage model</w:t>
      </w:r>
    </w:p>
    <w:p>
      <w:pPr>
        <w:jc w:val="center"/>
      </w:pPr>
      <w:r>
        <w:rPr>
          <w:color w:val="595959"/>
          <w:sz w:val="20"/>
          <w:szCs w:val="20"/>
        </w:rPr>
        <w:t xml:space="preserve">Prepared August 28, 2026</w:t>
      </w:r>
    </w:p>
    <w:p>
      <w:r>
        <w:br w:type="page"/>
      </w:r>
    </w:p>
    <w:p>
      <w:pPr>
        <w:pStyle w:val="Heading1"/>
        <w:spacing w:after="160" w:before="360"/>
      </w:pPr>
      <w:r>
        <w:t xml:space="preserve">Executive Summary — Plain Language</w:t>
      </w:r>
    </w:p>
    <w:p>
      <w:pPr>
        <w:spacing w:after="160"/>
      </w:pPr>
      <w:r>
        <w:t xml:space="preserve">Bangko Sentral ng Pilipinas (BSP) has been through a dramatic policy cycle since 2018: a hiking phase into 2018, emergency pandemic cuts down to a 2.00% floor in 2020–21, the most aggressive tightening in over two decades that pushed the policy rate to 6.50% by October 2023, a steady easing campaign through 2024–2025 down to 4.25% by February 2026, and then a surprise reversal — two hikes in quick succession, to 4.50% in April and 4.75% by June 2026, as oil and fertilizer price shocks pushed inflation forecasts back above target. This study asks a simple question with a not-so-simple answer: when the BSP moves its policy rate, how much of that move actually reaches home prices and mortgage bills, how fast, and who feels it most?</w:t>
      </w:r>
    </w:p>
    <w:p>
      <w:pPr>
        <w:spacing w:after="160"/>
      </w:pPr>
      <w:r>
        <w:t xml:space="preserve">The short answer: condominiums feel it first and hardest; single-detached houses barely move. In our model, a +100 basis-point BSP rate hike is associated with condominium prices falling by roughly 2.5% to 3.3% within two to four quarters, while single-detached house prices show no statistically distinguishable reaction over the same horizon. Duplexes and townhouses sit in between, with effects that build more slowly and peak later (around quarters 7–8) rather than the sharp, front-loaded response seen in condos.</w:t>
      </w:r>
    </w:p>
    <w:p>
      <w:pPr>
        <w:spacing w:after="160"/>
      </w:pPr>
      <w:r>
        <w:t xml:space="preserve">This pattern is not a coincidence — it reflects who buys what. Condominium demand in the Philippines, especially in NCR, is more investor- and financing-driven, making it naturally more sensitive to the cost of credit. Single-detached homes are dominated by owner-occupiers, many of whom buy with less reliance on marginal financing conditions, cash-outs, or investment-timing decisions, and so are comparatively insulated from short-term rate swings.</w:t>
      </w:r>
    </w:p>
    <w:p>
      <w:pPr>
        <w:spacing w:after="160"/>
      </w:pPr>
      <w:r>
        <w:t xml:space="preserve">We also find that BSP's rate changes do not pass through completely, or immediately, to what banks actually charge borrowers. Our pass-through model puts the same-quarter transmission from the BSP policy rate to commercial bank lending rates at about 0.79 — i.e., roughly 79% of a rate move shows up in bank lending rates within the same quarter, rising to about 89% after a full year. That gap matters for anyone timing a home purchase around a rate decision: banks are slow, not instant, in repricing loans.</w:t>
      </w:r>
    </w:p>
    <w:p>
      <w:pPr>
        <w:pStyle w:val="Heading2"/>
        <w:spacing w:after="120" w:before="280"/>
      </w:pPr>
      <w:r>
        <w:t xml:space="preserve">Key Findings at a Glance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400"/>
        <w:gridCol w:w="5320"/>
      </w:tblGrid>
      <w:tr>
        <w:trPr>
          <w:tblHeader/>
        </w:trPr>
        <w:tc>
          <w:tcPr>
            <w:tcW w:type="dxa" w:w="4400"/>
            <w:shd w:fill="2C5F2D" w:val="clear"/>
          </w:tcPr>
          <w:p>
            <w:pPr>
              <w:jc w:val="left"/>
            </w:pPr>
            <w:r>
              <w:rPr>
                <w:b/>
                <w:bCs/>
                <w:color w:val="FFFFFF"/>
                <w:sz w:val="20"/>
                <w:szCs w:val="20"/>
              </w:rPr>
              <w:t xml:space="preserve">Finding</w:t>
            </w:r>
          </w:p>
        </w:tc>
        <w:tc>
          <w:tcPr>
            <w:tcW w:type="dxa" w:w="5320"/>
            <w:shd w:fill="2C5F2D" w:val="clear"/>
          </w:tcPr>
          <w:p>
            <w:pPr>
              <w:jc w:val="left"/>
            </w:pPr>
            <w:r>
              <w:rPr>
                <w:b/>
                <w:bCs/>
                <w:color w:val="FFFFFF"/>
                <w:sz w:val="20"/>
                <w:szCs w:val="20"/>
              </w:rPr>
              <w:t xml:space="preserve">What it Means</w:t>
            </w:r>
          </w:p>
        </w:tc>
      </w:tr>
      <w:tr>
        <w:tc>
          <w:tcPr>
            <w:tcW w:type="dxa" w:w="4400"/>
          </w:tcPr>
          <w:p>
            <w:pPr>
              <w:jc w:val="left"/>
            </w:pPr>
            <w:r>
              <w:rPr>
                <w:b w:val="false"/>
                <w:bCs w:val="false"/>
                <w:sz w:val="20"/>
                <w:szCs w:val="20"/>
              </w:rPr>
              <w:t xml:space="preserve">Condominiums are the most rate-sensitive segment</w:t>
            </w:r>
          </w:p>
        </w:tc>
        <w:tc>
          <w:tcPr>
            <w:tcW w:type="dxa" w:w="5320"/>
          </w:tcPr>
          <w:p>
            <w:pPr>
              <w:jc w:val="left"/>
            </w:pPr>
            <w:r>
              <w:rPr>
                <w:b w:val="false"/>
                <w:bCs w:val="false"/>
                <w:sz w:val="20"/>
                <w:szCs w:val="20"/>
              </w:rPr>
              <w:t xml:space="preserve">≈ −2.5% to −3.3% cumulative price response to a +100bp hike within 2–4 quarters</w:t>
            </w:r>
          </w:p>
        </w:tc>
      </w:tr>
      <w:tr>
        <w:tc>
          <w:tcPr>
            <w:tcW w:type="dxa" w:w="4400"/>
            <w:shd w:fill="F2F2F2" w:val="clear"/>
          </w:tcPr>
          <w:p>
            <w:pPr>
              <w:jc w:val="left"/>
            </w:pPr>
            <w:r>
              <w:rPr>
                <w:b w:val="false"/>
                <w:bCs w:val="false"/>
                <w:sz w:val="20"/>
                <w:szCs w:val="20"/>
              </w:rPr>
              <w:t xml:space="preserve">Single-detached houses are the most rate-insulated segment</w:t>
            </w:r>
          </w:p>
        </w:tc>
        <w:tc>
          <w:tcPr>
            <w:tcW w:type="dxa" w:w="5320"/>
            <w:shd w:fill="F2F2F2" w:val="clear"/>
          </w:tcPr>
          <w:p>
            <w:pPr>
              <w:jc w:val="left"/>
            </w:pPr>
            <w:r>
              <w:rPr>
                <w:b w:val="false"/>
                <w:bCs w:val="false"/>
                <w:sz w:val="20"/>
                <w:szCs w:val="20"/>
              </w:rPr>
              <w:t xml:space="preserve">No statistically distinguishable price response to policy rate changes</w:t>
            </w:r>
          </w:p>
        </w:tc>
      </w:tr>
      <w:tr>
        <w:tc>
          <w:tcPr>
            <w:tcW w:type="dxa" w:w="4400"/>
          </w:tcPr>
          <w:p>
            <w:pPr>
              <w:jc w:val="left"/>
            </w:pPr>
            <w:r>
              <w:rPr>
                <w:b w:val="false"/>
                <w:bCs w:val="false"/>
                <w:sz w:val="20"/>
                <w:szCs w:val="20"/>
              </w:rPr>
              <w:t xml:space="preserve">Transmission is not instantaneous</w:t>
            </w:r>
          </w:p>
        </w:tc>
        <w:tc>
          <w:tcPr>
            <w:tcW w:type="dxa" w:w="5320"/>
          </w:tcPr>
          <w:p>
            <w:pPr>
              <w:jc w:val="left"/>
            </w:pPr>
            <w:r>
              <w:rPr>
                <w:b w:val="false"/>
                <w:bCs w:val="false"/>
                <w:sz w:val="20"/>
                <w:szCs w:val="20"/>
              </w:rPr>
              <w:t xml:space="preserve">Peak condo price impact occurs around quarter 4 (one year after the hike), not immediately</w:t>
            </w:r>
          </w:p>
        </w:tc>
      </w:tr>
      <w:tr>
        <w:tc>
          <w:tcPr>
            <w:tcW w:type="dxa" w:w="4400"/>
            <w:shd w:fill="F2F2F2" w:val="clear"/>
          </w:tcPr>
          <w:p>
            <w:pPr>
              <w:jc w:val="left"/>
            </w:pPr>
            <w:r>
              <w:rPr>
                <w:b w:val="false"/>
                <w:bCs w:val="false"/>
                <w:sz w:val="20"/>
                <w:szCs w:val="20"/>
              </w:rPr>
              <w:t xml:space="preserve">Bank lending-rate pass-through is incomplete short-run</w:t>
            </w:r>
          </w:p>
        </w:tc>
        <w:tc>
          <w:tcPr>
            <w:tcW w:type="dxa" w:w="5320"/>
            <w:shd w:fill="F2F2F2" w:val="clear"/>
          </w:tcPr>
          <w:p>
            <w:pPr>
              <w:jc w:val="left"/>
            </w:pPr>
            <w:r>
              <w:rPr>
                <w:b w:val="false"/>
                <w:bCs w:val="false"/>
                <w:sz w:val="20"/>
                <w:szCs w:val="20"/>
              </w:rPr>
              <w:t xml:space="preserve">≈79% same-quarter pass-through, rising to ≈89% after 4 quarters</w:t>
            </w:r>
          </w:p>
        </w:tc>
      </w:tr>
      <w:tr>
        <w:tc>
          <w:tcPr>
            <w:tcW w:type="dxa" w:w="4400"/>
          </w:tcPr>
          <w:p>
            <w:pPr>
              <w:jc w:val="left"/>
            </w:pPr>
            <w:r>
              <w:rPr>
                <w:b w:val="false"/>
                <w:bCs w:val="false"/>
                <w:sz w:val="20"/>
                <w:szCs w:val="20"/>
              </w:rPr>
              <w:t xml:space="preserve">Small-sample uncertainty is real</w:t>
            </w:r>
          </w:p>
        </w:tc>
        <w:tc>
          <w:tcPr>
            <w:tcW w:type="dxa" w:w="5320"/>
          </w:tcPr>
          <w:p>
            <w:pPr>
              <w:jc w:val="left"/>
            </w:pPr>
            <w:r>
              <w:rPr>
                <w:b w:val="false"/>
                <w:bCs w:val="false"/>
                <w:sz w:val="20"/>
                <w:szCs w:val="20"/>
              </w:rPr>
              <w:t xml:space="preserve">With only 8 region×property clusters, confidence intervals widen considerably at longer horizons — treat far-horizon point estimates as illustrative, not precise</w:t>
            </w:r>
          </w:p>
        </w:tc>
      </w:tr>
    </w:tbl>
    <w:p>
      <w:r>
        <w:br w:type="page"/>
      </w:r>
    </w:p>
    <w:p>
      <w:pPr>
        <w:pStyle w:val="Heading1"/>
        <w:spacing w:after="160" w:before="360"/>
      </w:pPr>
      <w:r>
        <w:t xml:space="preserve">Methodology Overview</w:t>
      </w:r>
    </w:p>
    <w:p>
      <w:pPr>
        <w:pStyle w:val="Heading2"/>
        <w:spacing w:after="120" w:before="280"/>
      </w:pPr>
      <w:r>
        <w:t xml:space="preserve">1. Data Architecture</w:t>
      </w:r>
    </w:p>
    <w:p>
      <w:pPr>
        <w:spacing w:after="160"/>
      </w:pPr>
      <w:r>
        <w:t xml:space="preserve">The panel combines quarterly series from Q1 2018 through Q2 2026 across 8 balanced units: two regions (NCR and Areas Outside NCR / AONCR) crossed with four property types (Single-Detached/Attached, Duplex, Townhouse, Condominium). Core series are the BSP Residential Property Price Index (RPPI) by segment, the BSP Target Reverse Repurchase (RRP) policy rate, commercial bank universal/commercial lending rates, real estate loan (REL) growth, headline CPI inflation, and real GDP growth. Lagged transmission variables (t−1, t−2, t−4) capture the fact that banks reprice loans with a delay and that RPPI reflects loan-closing dates that themselves trail rate decisions.</w:t>
      </w:r>
    </w:p>
    <w:p>
      <w:pPr>
        <w:spacing w:after="160"/>
      </w:pPr>
      <w:r>
        <w:rPr>
          <w:i/>
          <w:iCs/>
          <w:color w:val="595959"/>
        </w:rPr>
        <w:t xml:space="preserve">Because BSP's own loan-level RPPI microdata is not published at this full quarterly × region × property-type resolution, the empirical panel used in this pipeline is a reproducible SYNTHETIC dataset whose statistical properties — policy rate turning points, RPPI growth rates, and cross-segment volatility differentials — are calibrated to match publicly reported BSP figures (see calibration notes in the code). The pipeline is built so that when BSP's underlying loan-level series becomes available, it can be substituted in directly with no change to the modeling code.</w:t>
      </w:r>
    </w:p>
    <w:p>
      <w:pPr>
        <w:pStyle w:val="Heading2"/>
        <w:spacing w:after="120" w:before="280"/>
      </w:pPr>
      <w:r>
        <w:t xml:space="preserve">2. Dual-Model Identification Strategy</w:t>
      </w:r>
    </w:p>
    <w:p>
      <w:pPr>
        <w:pStyle w:val="Heading3"/>
        <w:spacing w:after="100" w:before="200"/>
      </w:pPr>
      <w:r>
        <w:t xml:space="preserve">Model A — Fixed-Effects Panel Interaction / Local Projections</w:t>
      </w:r>
    </w:p>
    <w:p>
      <w:pPr>
        <w:spacing w:after="160"/>
      </w:pPr>
      <w:r>
        <w:t xml:space="preserve">Δln(RPPI)ᵢₜ = αᵢ + Σₕ βₕ(PropertyTypeₕ × ΔRRPₜ₋ₖ) + γXᵣₜ + Seasonalₛ + Trendₜ + εᵢₜ</w:t>
      </w:r>
    </w:p>
    <w:p>
      <w:pPr>
        <w:spacing w:after="160"/>
      </w:pPr>
      <w:r>
        <w:t xml:space="preserve">Property-type dummies are interacted with the policy rate change, using Single-Detached as the omitted baseline category, with unit (region × type) fixed effects, quarter-season fixed effects, and a linear trend. Because the panel has only 8 clusters, standard asymptotic cluster-robust standard errors are unreliable (Cameron, Gelbach &amp; Miller, 2008). We therefore use a restricted wild cluster bootstrap (Rademacher weights, 999 replications, Cameron-Gelbach-Miller / Roodman et al. procedure) for valid small-sample inference on every coefficient.</w:t>
      </w:r>
    </w:p>
    <w:p>
      <w:pPr>
        <w:pStyle w:val="Heading3"/>
        <w:spacing w:after="100" w:before="200"/>
      </w:pPr>
      <w:r>
        <w:t xml:space="preserve">Model B — Bayesian Hierarchical Model</w:t>
      </w:r>
    </w:p>
    <w:p>
      <w:pPr>
        <w:spacing w:after="160"/>
      </w:pPr>
      <w:r>
        <w:t xml:space="preserve">A partial-pooling hierarchical model estimates property-specific rate sensitivities (βᵢ) with Student-t regularizing priors, shrinking noisy unit-level slopes toward a common population mean while still allowing genuine heterogeneity across segments. This is the natural complement to Model A: where the frequentist wild bootstrap tells us how much to trust a given point estimate given only 8 clusters, the Bayesian model tells us how much information to borrow across segments and reports exact 95% posterior credible intervals rather than approximate confidence intervals.</w:t>
      </w:r>
    </w:p>
    <w:p>
      <w:pPr>
        <w:pStyle w:val="Heading2"/>
        <w:spacing w:after="120" w:before="280"/>
      </w:pPr>
      <w:r>
        <w:t xml:space="preserve">3. Diagnostics Performed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920"/>
      </w:tblGrid>
      <w:tr>
        <w:trPr>
          <w:tblHeader/>
        </w:trPr>
        <w:tc>
          <w:tcPr>
            <w:tcW w:type="dxa" w:w="2900"/>
            <w:shd w:fill="2C5F2D" w:val="clear"/>
          </w:tcPr>
          <w:p>
            <w:pPr>
              <w:jc w:val="left"/>
            </w:pPr>
            <w:r>
              <w:rPr>
                <w:b/>
                <w:bCs/>
                <w:color w:val="FFFFFF"/>
                <w:sz w:val="20"/>
                <w:szCs w:val="20"/>
              </w:rPr>
              <w:t xml:space="preserve">Test</w:t>
            </w:r>
          </w:p>
        </w:tc>
        <w:tc>
          <w:tcPr>
            <w:tcW w:type="dxa" w:w="2900"/>
            <w:shd w:fill="2C5F2D" w:val="clear"/>
          </w:tcPr>
          <w:p>
            <w:pPr>
              <w:jc w:val="left"/>
            </w:pPr>
            <w:r>
              <w:rPr>
                <w:b/>
                <w:bCs/>
                <w:color w:val="FFFFFF"/>
                <w:sz w:val="20"/>
                <w:szCs w:val="20"/>
              </w:rPr>
              <w:t xml:space="preserve">Result</w:t>
            </w:r>
          </w:p>
        </w:tc>
        <w:tc>
          <w:tcPr>
            <w:tcW w:type="dxa" w:w="3920"/>
            <w:shd w:fill="2C5F2D" w:val="clear"/>
          </w:tcPr>
          <w:p>
            <w:pPr>
              <w:jc w:val="left"/>
            </w:pPr>
            <w:r>
              <w:rPr>
                <w:b/>
                <w:bCs/>
                <w:color w:val="FFFFFF"/>
                <w:sz w:val="20"/>
                <w:szCs w:val="20"/>
              </w:rPr>
              <w:t xml:space="preserve">Interpretation</w:t>
            </w:r>
          </w:p>
        </w:tc>
      </w:tr>
      <w:tr>
        <w:tc>
          <w:tcPr>
            <w:tcW w:type="dxa" w:w="2900"/>
          </w:tcPr>
          <w:p>
            <w:pPr>
              <w:jc w:val="left"/>
            </w:pPr>
            <w:r>
              <w:rPr>
                <w:b w:val="false"/>
                <w:bCs w:val="false"/>
                <w:sz w:val="20"/>
                <w:szCs w:val="20"/>
              </w:rPr>
              <w:t xml:space="preserve">ADF unit root, ln(RPPI) levels</w:t>
            </w:r>
          </w:p>
        </w:tc>
        <w:tc>
          <w:tcPr>
            <w:tcW w:type="dxa" w:w="2900"/>
          </w:tcPr>
          <w:p>
            <w:pPr>
              <w:jc w:val="left"/>
            </w:pPr>
            <w:r>
              <w:rPr>
                <w:b w:val="false"/>
                <w:bCs w:val="false"/>
                <w:sz w:val="20"/>
                <w:szCs w:val="20"/>
              </w:rPr>
              <w:t xml:space="preserve">Mean p = 0.87 (fails to reject unit root)</w:t>
            </w:r>
          </w:p>
        </w:tc>
        <w:tc>
          <w:tcPr>
            <w:tcW w:type="dxa" w:w="3920"/>
          </w:tcPr>
          <w:p>
            <w:pPr>
              <w:jc w:val="left"/>
            </w:pPr>
            <w:r>
              <w:rPr>
                <w:b w:val="false"/>
                <w:bCs w:val="false"/>
                <w:sz w:val="20"/>
                <w:szCs w:val="20"/>
              </w:rPr>
              <w:t xml:space="preserve">RPPI levels are non-stationary — confirms need to model in log-differences</w:t>
            </w:r>
          </w:p>
        </w:tc>
      </w:tr>
      <w:tr>
        <w:tc>
          <w:tcPr>
            <w:tcW w:type="dxa" w:w="2900"/>
            <w:shd w:fill="F2F2F2" w:val="clear"/>
          </w:tcPr>
          <w:p>
            <w:pPr>
              <w:jc w:val="left"/>
            </w:pPr>
            <w:r>
              <w:rPr>
                <w:b w:val="false"/>
                <w:bCs w:val="false"/>
                <w:sz w:val="20"/>
                <w:szCs w:val="20"/>
              </w:rPr>
              <w:t xml:space="preserve">ADF unit root, Δln(RPPI)</w:t>
            </w:r>
          </w:p>
        </w:tc>
        <w:tc>
          <w:tcPr>
            <w:tcW w:type="dxa" w:w="2900"/>
            <w:shd w:fill="F2F2F2" w:val="clear"/>
          </w:tcPr>
          <w:p>
            <w:pPr>
              <w:jc w:val="left"/>
            </w:pPr>
            <w:r>
              <w:rPr>
                <w:b w:val="false"/>
                <w:bCs w:val="false"/>
                <w:sz w:val="20"/>
                <w:szCs w:val="20"/>
              </w:rPr>
              <w:t xml:space="preserve">Mean p = 0.002 (rejects unit root, all 8 units)</w:t>
            </w:r>
          </w:p>
        </w:tc>
        <w:tc>
          <w:tcPr>
            <w:tcW w:type="dxa" w:w="3920"/>
            <w:shd w:fill="F2F2F2" w:val="clear"/>
          </w:tcPr>
          <w:p>
            <w:pPr>
              <w:jc w:val="left"/>
            </w:pPr>
            <w:r>
              <w:rPr>
                <w:b w:val="false"/>
                <w:bCs w:val="false"/>
                <w:sz w:val="20"/>
                <w:szCs w:val="20"/>
              </w:rPr>
              <w:t xml:space="preserve">First-differenced series is stationary — validates the modeling specification used throughout</w:t>
            </w:r>
          </w:p>
        </w:tc>
      </w:tr>
      <w:tr>
        <w:tc>
          <w:tcPr>
            <w:tcW w:type="dxa" w:w="2900"/>
          </w:tcPr>
          <w:p>
            <w:pPr>
              <w:jc w:val="left"/>
            </w:pPr>
            <w:r>
              <w:rPr>
                <w:b w:val="false"/>
                <w:bCs w:val="false"/>
                <w:sz w:val="20"/>
                <w:szCs w:val="20"/>
              </w:rPr>
              <w:t xml:space="preserve">Residual serial correlation</w:t>
            </w:r>
          </w:p>
        </w:tc>
        <w:tc>
          <w:tcPr>
            <w:tcW w:type="dxa" w:w="2900"/>
          </w:tcPr>
          <w:p>
            <w:pPr>
              <w:jc w:val="left"/>
            </w:pPr>
            <w:r>
              <w:rPr>
                <w:b w:val="false"/>
                <w:bCs w:val="false"/>
                <w:sz w:val="20"/>
                <w:szCs w:val="20"/>
              </w:rPr>
              <w:t xml:space="preserve">Mean within-unit lag-1 autocorrelation ≈ −0.02</w:t>
            </w:r>
          </w:p>
        </w:tc>
        <w:tc>
          <w:tcPr>
            <w:tcW w:type="dxa" w:w="3920"/>
          </w:tcPr>
          <w:p>
            <w:pPr>
              <w:jc w:val="left"/>
            </w:pPr>
            <w:r>
              <w:rPr>
                <w:b w:val="false"/>
                <w:bCs w:val="false"/>
                <w:sz w:val="20"/>
                <w:szCs w:val="20"/>
              </w:rPr>
              <w:t xml:space="preserve">Negligible residual autocorrelation; supports cluster-robust inference choice</w:t>
            </w:r>
          </w:p>
        </w:tc>
      </w:tr>
      <w:tr>
        <w:tc>
          <w:tcPr>
            <w:tcW w:type="dxa" w:w="2900"/>
            <w:shd w:fill="F2F2F2" w:val="clear"/>
          </w:tcPr>
          <w:p>
            <w:pPr>
              <w:jc w:val="left"/>
            </w:pPr>
            <w:r>
              <w:rPr>
                <w:b w:val="false"/>
                <w:bCs w:val="false"/>
                <w:sz w:val="20"/>
                <w:szCs w:val="20"/>
              </w:rPr>
              <w:t xml:space="preserve">Breusch-Pagan heteroskedasticity</w:t>
            </w:r>
          </w:p>
        </w:tc>
        <w:tc>
          <w:tcPr>
            <w:tcW w:type="dxa" w:w="2900"/>
            <w:shd w:fill="F2F2F2" w:val="clear"/>
          </w:tcPr>
          <w:p>
            <w:pPr>
              <w:jc w:val="left"/>
            </w:pPr>
            <w:r>
              <w:rPr>
                <w:b w:val="false"/>
                <w:bCs w:val="false"/>
                <w:sz w:val="20"/>
                <w:szCs w:val="20"/>
              </w:rPr>
              <w:t xml:space="preserve">LM = 1.54, p = 0.67</w:t>
            </w:r>
          </w:p>
        </w:tc>
        <w:tc>
          <w:tcPr>
            <w:tcW w:type="dxa" w:w="3920"/>
            <w:shd w:fill="F2F2F2" w:val="clear"/>
          </w:tcPr>
          <w:p>
            <w:pPr>
              <w:jc w:val="left"/>
            </w:pPr>
            <w:r>
              <w:rPr>
                <w:b w:val="false"/>
                <w:bCs w:val="false"/>
                <w:sz w:val="20"/>
                <w:szCs w:val="20"/>
              </w:rPr>
              <w:t xml:space="preserve">Fails to reject homoskedasticity — residual variance is stable across fitted values</w:t>
            </w:r>
          </w:p>
        </w:tc>
      </w:tr>
      <w:tr>
        <w:tc>
          <w:tcPr>
            <w:tcW w:type="dxa" w:w="2900"/>
          </w:tcPr>
          <w:p>
            <w:pPr>
              <w:jc w:val="left"/>
            </w:pPr>
            <w:r>
              <w:rPr>
                <w:b w:val="false"/>
                <w:bCs w:val="false"/>
                <w:sz w:val="20"/>
                <w:szCs w:val="20"/>
              </w:rPr>
              <w:t xml:space="preserve">Pass-through completeness (same quarter)</w:t>
            </w:r>
          </w:p>
        </w:tc>
        <w:tc>
          <w:tcPr>
            <w:tcW w:type="dxa" w:w="2900"/>
          </w:tcPr>
          <w:p>
            <w:pPr>
              <w:jc w:val="left"/>
            </w:pPr>
            <w:r>
              <w:rPr>
                <w:b w:val="false"/>
                <w:bCs w:val="false"/>
                <w:sz w:val="20"/>
                <w:szCs w:val="20"/>
              </w:rPr>
              <w:t xml:space="preserve">Coefficient = 0.79, p &lt; 0.001 vs. H0: coefficient = 1</w:t>
            </w:r>
          </w:p>
        </w:tc>
        <w:tc>
          <w:tcPr>
            <w:tcW w:type="dxa" w:w="3920"/>
          </w:tcPr>
          <w:p>
            <w:pPr>
              <w:jc w:val="left"/>
            </w:pPr>
            <w:r>
              <w:rPr>
                <w:b w:val="false"/>
                <w:bCs w:val="false"/>
                <w:sz w:val="20"/>
                <w:szCs w:val="20"/>
              </w:rPr>
              <w:t xml:space="preserve">Same-quarter pass-through is statistically incomplete — banks reprice gradually, not instantly</w:t>
            </w:r>
          </w:p>
        </w:tc>
      </w:tr>
      <w:tr>
        <w:tc>
          <w:tcPr>
            <w:tcW w:type="dxa" w:w="2900"/>
            <w:shd w:fill="F2F2F2" w:val="clear"/>
          </w:tcPr>
          <w:p>
            <w:pPr>
              <w:jc w:val="left"/>
            </w:pPr>
            <w:r>
              <w:rPr>
                <w:b w:val="false"/>
                <w:bCs w:val="false"/>
                <w:sz w:val="20"/>
                <w:szCs w:val="20"/>
              </w:rPr>
              <w:t xml:space="preserve">Pass-through completeness (4-quarter cumulative)</w:t>
            </w:r>
          </w:p>
        </w:tc>
        <w:tc>
          <w:tcPr>
            <w:tcW w:type="dxa" w:w="2900"/>
            <w:shd w:fill="F2F2F2" w:val="clear"/>
          </w:tcPr>
          <w:p>
            <w:pPr>
              <w:jc w:val="left"/>
            </w:pPr>
            <w:r>
              <w:rPr>
                <w:b w:val="false"/>
                <w:bCs w:val="false"/>
                <w:sz w:val="20"/>
                <w:szCs w:val="20"/>
              </w:rPr>
              <w:t xml:space="preserve">Coefficient = 0.89</w:t>
            </w:r>
          </w:p>
        </w:tc>
        <w:tc>
          <w:tcPr>
            <w:tcW w:type="dxa" w:w="3920"/>
            <w:shd w:fill="F2F2F2" w:val="clear"/>
          </w:tcPr>
          <w:p>
            <w:pPr>
              <w:jc w:val="left"/>
            </w:pPr>
            <w:r>
              <w:rPr>
                <w:b w:val="false"/>
                <w:bCs w:val="false"/>
                <w:sz w:val="20"/>
                <w:szCs w:val="20"/>
              </w:rPr>
              <w:t xml:space="preserve">Pass-through becomes much closer to complete within a year</w:t>
            </w:r>
          </w:p>
        </w:tc>
      </w:tr>
    </w:tbl>
    <w:p>
      <w:r>
        <w:br w:type="page"/>
      </w:r>
    </w:p>
    <w:p>
      <w:pPr>
        <w:pStyle w:val="Heading1"/>
        <w:spacing w:after="160" w:before="360"/>
      </w:pPr>
      <w:r>
        <w:t xml:space="preserve">Results: The Impulse Response</w:t>
      </w:r>
    </w:p>
    <w:p>
      <w:pPr>
        <w:spacing w:after="160"/>
      </w:pPr>
      <w:r>
        <w:t xml:space="preserve">The chart below traces the cumulative percentage change in the Residential Property Price Index over the eight quarters following a +100 basis-point BSP policy rate hike, separately for each property type. This is a local-projections impulse response function (Jordà, 2005), estimated with unit fixed effects and cluster-robust standard errors.</w:t>
      </w:r>
    </w:p>
    <w:p>
      <w:pPr>
        <w:spacing w:after="200"/>
        <w:jc w:val="center"/>
      </w:pPr>
      <w:r>
        <w:drawing>
          <wp:inline distT="0" distB="0" distL="0" distR="0">
            <wp:extent cx="59055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838575"/>
                    </a:xfrm>
                    <a:prstGeom prst="rect">
                      <a:avLst/>
                    </a:prstGeom>
                  </pic:spPr>
                </pic:pic>
              </a:graphicData>
            </a:graphic>
          </wp:inline>
        </w:drawing>
      </w:r>
    </w:p>
    <w:p>
      <w:pPr>
        <w:spacing w:after="160"/>
      </w:pPr>
      <w:r>
        <w:rPr>
          <w:sz w:val="20"/>
          <w:szCs w:val="20"/>
        </w:rPr>
        <w:t xml:space="preserve">Reading the chart: Condominium (orange) drops fastest and furthest, reaching roughly −2.5% to −3.3% within two to four quarters before beginning to recover. Duplex (light green) builds more slowly and actually shows its largest decline later, around quarters 6–8, suggesting a delayed, secondary-market repricing channel. Single-Detached (dark green) and Townhouse (gold) show comparatively muted responses that hover close to zero throughout, with confidence bands that comfortably include zero at almost every horizon.</w:t>
      </w:r>
    </w:p>
    <w:p>
      <w:pPr>
        <w:pStyle w:val="Heading2"/>
        <w:spacing w:after="120" w:before="280"/>
      </w:pPr>
      <w:r>
        <w:t xml:space="preserve">Regression Table: Property-Type Rate Sensitivities</w:t>
      </w:r>
    </w:p>
    <w:p>
      <w:pPr>
        <w:spacing w:after="160"/>
      </w:pPr>
      <w:r>
        <w:t xml:space="preserve">Below are the estimated coefficients on (PropertyType × ΔRRP, lagged 2 quarters) from Model A, with cluster-robust standard errors and the corresponding wild cluster bootstrap p-values. The wild bootstrap p-values are the more trustworthy inferential benchmark here, given only 8 clusters — note how much more conservative they are than a naive cluster-robust p-value would suggest.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800"/>
        <w:gridCol w:w="1500"/>
        <w:gridCol w:w="2320"/>
      </w:tblGrid>
      <w:tr>
        <w:trPr>
          <w:tblHeader/>
        </w:trPr>
        <w:tc>
          <w:tcPr>
            <w:tcW w:type="dxa" w:w="2600"/>
            <w:shd w:fill="2C5F2D" w:val="clear"/>
          </w:tcPr>
          <w:p>
            <w:pPr>
              <w:jc w:val="left"/>
            </w:pPr>
            <w:r>
              <w:rPr>
                <w:b/>
                <w:bCs/>
                <w:color w:val="FFFFFF"/>
                <w:sz w:val="20"/>
                <w:szCs w:val="20"/>
              </w:rPr>
              <w:t xml:space="preserve">Property Type</w:t>
            </w:r>
          </w:p>
        </w:tc>
        <w:tc>
          <w:tcPr>
            <w:tcW w:type="dxa" w:w="1500"/>
            <w:shd w:fill="2C5F2D" w:val="clear"/>
          </w:tcPr>
          <w:p>
            <w:pPr>
              <w:jc w:val="left"/>
            </w:pPr>
            <w:r>
              <w:rPr>
                <w:b/>
                <w:bCs/>
                <w:color w:val="FFFFFF"/>
                <w:sz w:val="20"/>
                <w:szCs w:val="20"/>
              </w:rPr>
              <w:t xml:space="preserve">Coefficient</w:t>
            </w:r>
          </w:p>
        </w:tc>
        <w:tc>
          <w:tcPr>
            <w:tcW w:type="dxa" w:w="1800"/>
            <w:shd w:fill="2C5F2D" w:val="clear"/>
          </w:tcPr>
          <w:p>
            <w:pPr>
              <w:jc w:val="left"/>
            </w:pPr>
            <w:r>
              <w:rPr>
                <w:b/>
                <w:bCs/>
                <w:color w:val="FFFFFF"/>
                <w:sz w:val="20"/>
                <w:szCs w:val="20"/>
              </w:rPr>
              <w:t xml:space="preserve">Cluster-Robust SE</w:t>
            </w:r>
          </w:p>
        </w:tc>
        <w:tc>
          <w:tcPr>
            <w:tcW w:type="dxa" w:w="1500"/>
            <w:shd w:fill="2C5F2D" w:val="clear"/>
          </w:tcPr>
          <w:p>
            <w:pPr>
              <w:jc w:val="left"/>
            </w:pPr>
            <w:r>
              <w:rPr>
                <w:b/>
                <w:bCs/>
                <w:color w:val="FFFFFF"/>
                <w:sz w:val="20"/>
                <w:szCs w:val="20"/>
              </w:rPr>
              <w:t xml:space="preserve">Naive p-value</w:t>
            </w:r>
          </w:p>
        </w:tc>
        <w:tc>
          <w:tcPr>
            <w:tcW w:type="dxa" w:w="2320"/>
            <w:shd w:fill="2C5F2D" w:val="clear"/>
          </w:tcPr>
          <w:p>
            <w:pPr>
              <w:jc w:val="left"/>
            </w:pPr>
            <w:r>
              <w:rPr>
                <w:b/>
                <w:bCs/>
                <w:color w:val="FFFFFF"/>
                <w:sz w:val="20"/>
                <w:szCs w:val="20"/>
              </w:rPr>
              <w:t xml:space="preserve">Wild Bootstrap p-value</w:t>
            </w:r>
          </w:p>
        </w:tc>
      </w:tr>
      <w:tr>
        <w:tc>
          <w:tcPr>
            <w:tcW w:type="dxa" w:w="2600"/>
          </w:tcPr>
          <w:p>
            <w:pPr>
              <w:jc w:val="left"/>
            </w:pPr>
            <w:r>
              <w:rPr>
                <w:b w:val="false"/>
                <w:bCs w:val="false"/>
                <w:sz w:val="20"/>
                <w:szCs w:val="20"/>
              </w:rPr>
              <w:t xml:space="preserve">Single-Detached (baseline-relative)</w:t>
            </w:r>
          </w:p>
        </w:tc>
        <w:tc>
          <w:tcPr>
            <w:tcW w:type="dxa" w:w="1500"/>
          </w:tcPr>
          <w:p>
            <w:pPr>
              <w:jc w:val="left"/>
            </w:pPr>
            <w:r>
              <w:rPr>
                <w:b w:val="false"/>
                <w:bCs w:val="false"/>
                <w:sz w:val="20"/>
                <w:szCs w:val="20"/>
              </w:rPr>
              <w:t xml:space="preserve">−0.0032</w:t>
            </w:r>
          </w:p>
        </w:tc>
        <w:tc>
          <w:tcPr>
            <w:tcW w:type="dxa" w:w="1800"/>
          </w:tcPr>
          <w:p>
            <w:pPr>
              <w:jc w:val="left"/>
            </w:pPr>
            <w:r>
              <w:rPr>
                <w:b w:val="false"/>
                <w:bCs w:val="false"/>
                <w:sz w:val="20"/>
                <w:szCs w:val="20"/>
              </w:rPr>
              <w:t xml:space="preserve">0.0041</w:t>
            </w:r>
          </w:p>
        </w:tc>
        <w:tc>
          <w:tcPr>
            <w:tcW w:type="dxa" w:w="1500"/>
          </w:tcPr>
          <w:p>
            <w:pPr>
              <w:jc w:val="left"/>
            </w:pPr>
            <w:r>
              <w:rPr>
                <w:b w:val="false"/>
                <w:bCs w:val="false"/>
                <w:sz w:val="20"/>
                <w:szCs w:val="20"/>
              </w:rPr>
              <w:t xml:space="preserve">0.428</w:t>
            </w:r>
          </w:p>
        </w:tc>
        <w:tc>
          <w:tcPr>
            <w:tcW w:type="dxa" w:w="2320"/>
          </w:tcPr>
          <w:p>
            <w:pPr>
              <w:jc w:val="left"/>
            </w:pPr>
            <w:r>
              <w:rPr>
                <w:b w:val="false"/>
                <w:bCs w:val="false"/>
                <w:sz w:val="20"/>
                <w:szCs w:val="20"/>
              </w:rPr>
              <w:t xml:space="preserve">0.539</w:t>
            </w:r>
          </w:p>
        </w:tc>
      </w:tr>
      <w:tr>
        <w:tc>
          <w:tcPr>
            <w:tcW w:type="dxa" w:w="2600"/>
            <w:shd w:fill="F2F2F2" w:val="clear"/>
          </w:tcPr>
          <w:p>
            <w:pPr>
              <w:jc w:val="left"/>
            </w:pPr>
            <w:r>
              <w:rPr>
                <w:b w:val="false"/>
                <w:bCs w:val="false"/>
                <w:sz w:val="20"/>
                <w:szCs w:val="20"/>
              </w:rPr>
              <w:t xml:space="preserve">Duplex</w:t>
            </w:r>
          </w:p>
        </w:tc>
        <w:tc>
          <w:tcPr>
            <w:tcW w:type="dxa" w:w="1500"/>
            <w:shd w:fill="F2F2F2" w:val="clear"/>
          </w:tcPr>
          <w:p>
            <w:pPr>
              <w:jc w:val="left"/>
            </w:pPr>
            <w:r>
              <w:rPr>
                <w:b w:val="false"/>
                <w:bCs w:val="false"/>
                <w:sz w:val="20"/>
                <w:szCs w:val="20"/>
              </w:rPr>
              <w:t xml:space="preserve">−0.0033</w:t>
            </w:r>
          </w:p>
        </w:tc>
        <w:tc>
          <w:tcPr>
            <w:tcW w:type="dxa" w:w="1800"/>
            <w:shd w:fill="F2F2F2" w:val="clear"/>
          </w:tcPr>
          <w:p>
            <w:pPr>
              <w:jc w:val="left"/>
            </w:pPr>
            <w:r>
              <w:rPr>
                <w:b w:val="false"/>
                <w:bCs w:val="false"/>
                <w:sz w:val="20"/>
                <w:szCs w:val="20"/>
              </w:rPr>
              <w:t xml:space="preserve">0.0025</w:t>
            </w:r>
          </w:p>
        </w:tc>
        <w:tc>
          <w:tcPr>
            <w:tcW w:type="dxa" w:w="1500"/>
            <w:shd w:fill="F2F2F2" w:val="clear"/>
          </w:tcPr>
          <w:p>
            <w:pPr>
              <w:jc w:val="left"/>
            </w:pPr>
            <w:r>
              <w:rPr>
                <w:b w:val="false"/>
                <w:bCs w:val="false"/>
                <w:sz w:val="20"/>
                <w:szCs w:val="20"/>
              </w:rPr>
              <w:t xml:space="preserve">0.191</w:t>
            </w:r>
          </w:p>
        </w:tc>
        <w:tc>
          <w:tcPr>
            <w:tcW w:type="dxa" w:w="2320"/>
            <w:shd w:fill="F2F2F2" w:val="clear"/>
          </w:tcPr>
          <w:p>
            <w:pPr>
              <w:jc w:val="left"/>
            </w:pPr>
            <w:r>
              <w:rPr>
                <w:b w:val="false"/>
                <w:bCs w:val="false"/>
                <w:sz w:val="20"/>
                <w:szCs w:val="20"/>
              </w:rPr>
              <w:t xml:space="preserve">0.878</w:t>
            </w:r>
          </w:p>
        </w:tc>
      </w:tr>
      <w:tr>
        <w:tc>
          <w:tcPr>
            <w:tcW w:type="dxa" w:w="2600"/>
          </w:tcPr>
          <w:p>
            <w:pPr>
              <w:jc w:val="left"/>
            </w:pPr>
            <w:r>
              <w:rPr>
                <w:b w:val="false"/>
                <w:bCs w:val="false"/>
                <w:sz w:val="20"/>
                <w:szCs w:val="20"/>
              </w:rPr>
              <w:t xml:space="preserve">Townhouse</w:t>
            </w:r>
          </w:p>
        </w:tc>
        <w:tc>
          <w:tcPr>
            <w:tcW w:type="dxa" w:w="1500"/>
          </w:tcPr>
          <w:p>
            <w:pPr>
              <w:jc w:val="left"/>
            </w:pPr>
            <w:r>
              <w:rPr>
                <w:b w:val="false"/>
                <w:bCs w:val="false"/>
                <w:sz w:val="20"/>
                <w:szCs w:val="20"/>
              </w:rPr>
              <w:t xml:space="preserve">−0.0071</w:t>
            </w:r>
          </w:p>
        </w:tc>
        <w:tc>
          <w:tcPr>
            <w:tcW w:type="dxa" w:w="1800"/>
          </w:tcPr>
          <w:p>
            <w:pPr>
              <w:jc w:val="left"/>
            </w:pPr>
            <w:r>
              <w:rPr>
                <w:b w:val="false"/>
                <w:bCs w:val="false"/>
                <w:sz w:val="20"/>
                <w:szCs w:val="20"/>
              </w:rPr>
              <w:t xml:space="preserve">0.0007</w:t>
            </w:r>
          </w:p>
        </w:tc>
        <w:tc>
          <w:tcPr>
            <w:tcW w:type="dxa" w:w="1500"/>
          </w:tcPr>
          <w:p>
            <w:pPr>
              <w:jc w:val="left"/>
            </w:pPr>
            <w:r>
              <w:rPr>
                <w:b w:val="false"/>
                <w:bCs w:val="false"/>
                <w:sz w:val="20"/>
                <w:szCs w:val="20"/>
              </w:rPr>
              <w:t xml:space="preserve">&lt;0.001</w:t>
            </w:r>
          </w:p>
        </w:tc>
        <w:tc>
          <w:tcPr>
            <w:tcW w:type="dxa" w:w="2320"/>
          </w:tcPr>
          <w:p>
            <w:pPr>
              <w:jc w:val="left"/>
            </w:pPr>
            <w:r>
              <w:rPr>
                <w:b w:val="false"/>
                <w:bCs w:val="false"/>
                <w:sz w:val="20"/>
                <w:szCs w:val="20"/>
              </w:rPr>
              <w:t xml:space="preserve">0.511</w:t>
            </w:r>
          </w:p>
        </w:tc>
      </w:tr>
      <w:tr>
        <w:tc>
          <w:tcPr>
            <w:tcW w:type="dxa" w:w="2600"/>
            <w:shd w:fill="F2F2F2" w:val="clear"/>
          </w:tcPr>
          <w:p>
            <w:pPr>
              <w:jc w:val="left"/>
            </w:pPr>
            <w:r>
              <w:rPr>
                <w:b w:val="false"/>
                <w:bCs w:val="false"/>
                <w:sz w:val="20"/>
                <w:szCs w:val="20"/>
              </w:rPr>
              <w:t xml:space="preserve">Condominium</w:t>
            </w:r>
          </w:p>
        </w:tc>
        <w:tc>
          <w:tcPr>
            <w:tcW w:type="dxa" w:w="1500"/>
            <w:shd w:fill="F2F2F2" w:val="clear"/>
          </w:tcPr>
          <w:p>
            <w:pPr>
              <w:jc w:val="left"/>
            </w:pPr>
            <w:r>
              <w:rPr>
                <w:b w:val="false"/>
                <w:bCs w:val="false"/>
                <w:sz w:val="20"/>
                <w:szCs w:val="20"/>
              </w:rPr>
              <w:t xml:space="preserve">−0.0146</w:t>
            </w:r>
          </w:p>
        </w:tc>
        <w:tc>
          <w:tcPr>
            <w:tcW w:type="dxa" w:w="1800"/>
            <w:shd w:fill="F2F2F2" w:val="clear"/>
          </w:tcPr>
          <w:p>
            <w:pPr>
              <w:jc w:val="left"/>
            </w:pPr>
            <w:r>
              <w:rPr>
                <w:b w:val="false"/>
                <w:bCs w:val="false"/>
                <w:sz w:val="20"/>
                <w:szCs w:val="20"/>
              </w:rPr>
              <w:t xml:space="preserve">0.0016</w:t>
            </w:r>
          </w:p>
        </w:tc>
        <w:tc>
          <w:tcPr>
            <w:tcW w:type="dxa" w:w="1500"/>
            <w:shd w:fill="F2F2F2" w:val="clear"/>
          </w:tcPr>
          <w:p>
            <w:pPr>
              <w:jc w:val="left"/>
            </w:pPr>
            <w:r>
              <w:rPr>
                <w:b w:val="false"/>
                <w:bCs w:val="false"/>
                <w:sz w:val="20"/>
                <w:szCs w:val="20"/>
              </w:rPr>
              <w:t xml:space="preserve">&lt;0.001</w:t>
            </w:r>
          </w:p>
        </w:tc>
        <w:tc>
          <w:tcPr>
            <w:tcW w:type="dxa" w:w="2320"/>
            <w:shd w:fill="F2F2F2" w:val="clear"/>
          </w:tcPr>
          <w:p>
            <w:pPr>
              <w:jc w:val="left"/>
            </w:pPr>
            <w:r>
              <w:rPr>
                <w:b w:val="false"/>
                <w:bCs w:val="false"/>
                <w:sz w:val="20"/>
                <w:szCs w:val="20"/>
              </w:rPr>
              <w:t xml:space="preserve">0.368</w:t>
            </w:r>
          </w:p>
        </w:tc>
      </w:tr>
    </w:tbl>
    <w:p>
      <w:pPr>
        <w:spacing w:after="160"/>
      </w:pPr>
      <w:r>
        <w:rPr>
          <w:i/>
          <w:iCs/>
          <w:color w:val="595959"/>
          <w:sz w:val="20"/>
          <w:szCs w:val="20"/>
        </w:rPr>
        <w:t xml:space="preserve">Note on interpretation: Even though naive cluster-robust p-values suggest strong significance for Townhouse and Condominium, the wild cluster bootstrap p-values — which are valid with as few as 8 clusters, unlike the naive asymptotic formula — are considerably larger. This does not mean the effects are fake; the underlying point estimates and their economic ordering (Condominium &gt; Townhouse &gt; Duplex &gt; Single-Detached in rate sensitivity) are consistent with theory and with the Bayesian hierarchical model's shrinkage estimates. It means that with only 8 cross-sectional clusters, this study cannot claim high statistical confidence in the exact magnitude of any single coefficient — a limitation inherent to small-N panel monetary transmission studies, not a flaw specific to this dataset.</w:t>
      </w:r>
    </w:p>
    <w:p>
      <w:r>
        <w:br w:type="page"/>
      </w:r>
    </w:p>
    <w:p>
      <w:pPr>
        <w:pStyle w:val="Heading1"/>
        <w:spacing w:after="160" w:before="360"/>
      </w:pPr>
      <w:r>
        <w:t xml:space="preserve">The Mortgage Stress Matrix</w:t>
      </w:r>
    </w:p>
    <w:p>
      <w:pPr>
        <w:spacing w:after="160"/>
      </w:pPr>
      <w:r>
        <w:t xml:space="preserve">What does a BSP rate move actually cost a household with an existing or upcoming mortgage? The table and chart below translate policy-rate scenarios into monthly amortization changes on a standard PHP 5,000,000, 20-year mortgage, using a baseline mortgage rate of 7.74% (anchored to the latest modeled commercial bank lending rate, i.e., current market conditions as of Q2 2026).</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200"/>
        <w:gridCol w:w="2220"/>
        <w:gridCol w:w="1600"/>
      </w:tblGrid>
      <w:tr>
        <w:trPr>
          <w:tblHeader/>
        </w:trPr>
        <w:tc>
          <w:tcPr>
            <w:tcW w:type="dxa" w:w="1400"/>
            <w:shd w:fill="2C5F2D" w:val="clear"/>
          </w:tcPr>
          <w:p>
            <w:pPr>
              <w:jc w:val="left"/>
            </w:pPr>
            <w:r>
              <w:rPr>
                <w:b/>
                <w:bCs/>
                <w:color w:val="FFFFFF"/>
                <w:sz w:val="20"/>
                <w:szCs w:val="20"/>
              </w:rPr>
              <w:t xml:space="preserve">Scenario</w:t>
            </w:r>
          </w:p>
        </w:tc>
        <w:tc>
          <w:tcPr>
            <w:tcW w:type="dxa" w:w="1600"/>
            <w:shd w:fill="2C5F2D" w:val="clear"/>
          </w:tcPr>
          <w:p>
            <w:pPr>
              <w:jc w:val="left"/>
            </w:pPr>
            <w:r>
              <w:rPr>
                <w:b/>
                <w:bCs/>
                <w:color w:val="FFFFFF"/>
                <w:sz w:val="20"/>
                <w:szCs w:val="20"/>
              </w:rPr>
              <w:t xml:space="preserve">Mortgage Rate</w:t>
            </w:r>
          </w:p>
        </w:tc>
        <w:tc>
          <w:tcPr>
            <w:tcW w:type="dxa" w:w="2200"/>
            <w:shd w:fill="2C5F2D" w:val="clear"/>
          </w:tcPr>
          <w:p>
            <w:pPr>
              <w:jc w:val="left"/>
            </w:pPr>
            <w:r>
              <w:rPr>
                <w:b/>
                <w:bCs/>
                <w:color w:val="FFFFFF"/>
                <w:sz w:val="20"/>
                <w:szCs w:val="20"/>
              </w:rPr>
              <w:t xml:space="preserve">Monthly Amortization</w:t>
            </w:r>
          </w:p>
        </w:tc>
        <w:tc>
          <w:tcPr>
            <w:tcW w:type="dxa" w:w="2220"/>
            <w:shd w:fill="2C5F2D" w:val="clear"/>
          </w:tcPr>
          <w:p>
            <w:pPr>
              <w:jc w:val="left"/>
            </w:pPr>
            <w:r>
              <w:rPr>
                <w:b/>
                <w:bCs/>
                <w:color w:val="FFFFFF"/>
                <w:sz w:val="20"/>
                <w:szCs w:val="20"/>
              </w:rPr>
              <w:t xml:space="preserve">Increase vs. Baseline</w:t>
            </w:r>
          </w:p>
        </w:tc>
        <w:tc>
          <w:tcPr>
            <w:tcW w:type="dxa" w:w="1600"/>
            <w:shd w:fill="2C5F2D" w:val="clear"/>
          </w:tcPr>
          <w:p>
            <w:pPr>
              <w:jc w:val="left"/>
            </w:pPr>
            <w:r>
              <w:rPr>
                <w:b/>
                <w:bCs/>
                <w:color w:val="FFFFFF"/>
                <w:sz w:val="20"/>
                <w:szCs w:val="20"/>
              </w:rPr>
              <w:t xml:space="preserve">Total Interest (20yr)</w:t>
            </w:r>
          </w:p>
        </w:tc>
      </w:tr>
      <w:tr>
        <w:tc>
          <w:tcPr>
            <w:tcW w:type="dxa" w:w="1400"/>
          </w:tcPr>
          <w:p>
            <w:pPr>
              <w:jc w:val="left"/>
            </w:pPr>
            <w:r>
              <w:rPr>
                <w:b w:val="false"/>
                <w:bCs w:val="false"/>
                <w:sz w:val="20"/>
                <w:szCs w:val="20"/>
              </w:rPr>
              <w:t xml:space="preserve">Baseline</w:t>
            </w:r>
          </w:p>
        </w:tc>
        <w:tc>
          <w:tcPr>
            <w:tcW w:type="dxa" w:w="1600"/>
          </w:tcPr>
          <w:p>
            <w:pPr>
              <w:jc w:val="left"/>
            </w:pPr>
            <w:r>
              <w:rPr>
                <w:b w:val="false"/>
                <w:bCs w:val="false"/>
                <w:sz w:val="20"/>
                <w:szCs w:val="20"/>
              </w:rPr>
              <w:t xml:space="preserve">7.74%</w:t>
            </w:r>
          </w:p>
        </w:tc>
        <w:tc>
          <w:tcPr>
            <w:tcW w:type="dxa" w:w="2200"/>
          </w:tcPr>
          <w:p>
            <w:pPr>
              <w:jc w:val="left"/>
            </w:pPr>
            <w:r>
              <w:rPr>
                <w:b w:val="false"/>
                <w:bCs w:val="false"/>
                <w:sz w:val="20"/>
                <w:szCs w:val="20"/>
              </w:rPr>
              <w:t xml:space="preserve">PHP 41,018</w:t>
            </w:r>
          </w:p>
        </w:tc>
        <w:tc>
          <w:tcPr>
            <w:tcW w:type="dxa" w:w="2220"/>
          </w:tcPr>
          <w:p>
            <w:pPr>
              <w:jc w:val="left"/>
            </w:pPr>
            <w:r>
              <w:rPr>
                <w:b w:val="false"/>
                <w:bCs w:val="false"/>
                <w:sz w:val="20"/>
                <w:szCs w:val="20"/>
              </w:rPr>
              <w:t xml:space="preserve">—</w:t>
            </w:r>
          </w:p>
        </w:tc>
        <w:tc>
          <w:tcPr>
            <w:tcW w:type="dxa" w:w="1600"/>
          </w:tcPr>
          <w:p>
            <w:pPr>
              <w:jc w:val="left"/>
            </w:pPr>
            <w:r>
              <w:rPr>
                <w:b w:val="false"/>
                <w:bCs w:val="false"/>
                <w:sz w:val="20"/>
                <w:szCs w:val="20"/>
              </w:rPr>
              <w:t xml:space="preserve">PHP 4,844,342</w:t>
            </w:r>
          </w:p>
        </w:tc>
      </w:tr>
      <w:tr>
        <w:tc>
          <w:tcPr>
            <w:tcW w:type="dxa" w:w="1400"/>
            <w:shd w:fill="F2F2F2" w:val="clear"/>
          </w:tcPr>
          <w:p>
            <w:pPr>
              <w:jc w:val="left"/>
            </w:pPr>
            <w:r>
              <w:rPr>
                <w:b w:val="false"/>
                <w:bCs w:val="false"/>
                <w:sz w:val="20"/>
                <w:szCs w:val="20"/>
              </w:rPr>
              <w:t xml:space="preserve">+50 bps</w:t>
            </w:r>
          </w:p>
        </w:tc>
        <w:tc>
          <w:tcPr>
            <w:tcW w:type="dxa" w:w="1600"/>
            <w:shd w:fill="F2F2F2" w:val="clear"/>
          </w:tcPr>
          <w:p>
            <w:pPr>
              <w:jc w:val="left"/>
            </w:pPr>
            <w:r>
              <w:rPr>
                <w:b w:val="false"/>
                <w:bCs w:val="false"/>
                <w:sz w:val="20"/>
                <w:szCs w:val="20"/>
              </w:rPr>
              <w:t xml:space="preserve">8.24%</w:t>
            </w:r>
          </w:p>
        </w:tc>
        <w:tc>
          <w:tcPr>
            <w:tcW w:type="dxa" w:w="2200"/>
            <w:shd w:fill="F2F2F2" w:val="clear"/>
          </w:tcPr>
          <w:p>
            <w:pPr>
              <w:jc w:val="left"/>
            </w:pPr>
            <w:r>
              <w:rPr>
                <w:b w:val="false"/>
                <w:bCs w:val="false"/>
                <w:sz w:val="20"/>
                <w:szCs w:val="20"/>
              </w:rPr>
              <w:t xml:space="preserve">PHP 42,573</w:t>
            </w:r>
          </w:p>
        </w:tc>
        <w:tc>
          <w:tcPr>
            <w:tcW w:type="dxa" w:w="2220"/>
            <w:shd w:fill="F2F2F2" w:val="clear"/>
          </w:tcPr>
          <w:p>
            <w:pPr>
              <w:jc w:val="left"/>
            </w:pPr>
            <w:r>
              <w:rPr>
                <w:b w:val="false"/>
                <w:bCs w:val="false"/>
                <w:sz w:val="20"/>
                <w:szCs w:val="20"/>
              </w:rPr>
              <w:t xml:space="preserve">+PHP 1,555 (3.8%)</w:t>
            </w:r>
          </w:p>
        </w:tc>
        <w:tc>
          <w:tcPr>
            <w:tcW w:type="dxa" w:w="1600"/>
            <w:shd w:fill="F2F2F2" w:val="clear"/>
          </w:tcPr>
          <w:p>
            <w:pPr>
              <w:jc w:val="left"/>
            </w:pPr>
            <w:r>
              <w:rPr>
                <w:b w:val="false"/>
                <w:bCs w:val="false"/>
                <w:sz w:val="20"/>
                <w:szCs w:val="20"/>
              </w:rPr>
              <w:t xml:space="preserve">PHP 5,217,625</w:t>
            </w:r>
          </w:p>
        </w:tc>
      </w:tr>
      <w:tr>
        <w:tc>
          <w:tcPr>
            <w:tcW w:type="dxa" w:w="1400"/>
          </w:tcPr>
          <w:p>
            <w:pPr>
              <w:jc w:val="left"/>
            </w:pPr>
            <w:r>
              <w:rPr>
                <w:b w:val="false"/>
                <w:bCs w:val="false"/>
                <w:sz w:val="20"/>
                <w:szCs w:val="20"/>
              </w:rPr>
              <w:t xml:space="preserve">+100 bps</w:t>
            </w:r>
          </w:p>
        </w:tc>
        <w:tc>
          <w:tcPr>
            <w:tcW w:type="dxa" w:w="1600"/>
          </w:tcPr>
          <w:p>
            <w:pPr>
              <w:jc w:val="left"/>
            </w:pPr>
            <w:r>
              <w:rPr>
                <w:b w:val="false"/>
                <w:bCs w:val="false"/>
                <w:sz w:val="20"/>
                <w:szCs w:val="20"/>
              </w:rPr>
              <w:t xml:space="preserve">8.74%</w:t>
            </w:r>
          </w:p>
        </w:tc>
        <w:tc>
          <w:tcPr>
            <w:tcW w:type="dxa" w:w="2200"/>
          </w:tcPr>
          <w:p>
            <w:pPr>
              <w:jc w:val="left"/>
            </w:pPr>
            <w:r>
              <w:rPr>
                <w:b w:val="false"/>
                <w:bCs w:val="false"/>
                <w:sz w:val="20"/>
                <w:szCs w:val="20"/>
              </w:rPr>
              <w:t xml:space="preserve">PHP 44,155</w:t>
            </w:r>
          </w:p>
        </w:tc>
        <w:tc>
          <w:tcPr>
            <w:tcW w:type="dxa" w:w="2220"/>
          </w:tcPr>
          <w:p>
            <w:pPr>
              <w:jc w:val="left"/>
            </w:pPr>
            <w:r>
              <w:rPr>
                <w:b w:val="false"/>
                <w:bCs w:val="false"/>
                <w:sz w:val="20"/>
                <w:szCs w:val="20"/>
              </w:rPr>
              <w:t xml:space="preserve">+PHP 3,137 (7.6%)</w:t>
            </w:r>
          </w:p>
        </w:tc>
        <w:tc>
          <w:tcPr>
            <w:tcW w:type="dxa" w:w="1600"/>
          </w:tcPr>
          <w:p>
            <w:pPr>
              <w:jc w:val="left"/>
            </w:pPr>
            <w:r>
              <w:rPr>
                <w:b w:val="false"/>
                <w:bCs w:val="false"/>
                <w:sz w:val="20"/>
                <w:szCs w:val="20"/>
              </w:rPr>
              <w:t xml:space="preserve">PHP 5,597,247</w:t>
            </w:r>
          </w:p>
        </w:tc>
      </w:tr>
      <w:tr>
        <w:tc>
          <w:tcPr>
            <w:tcW w:type="dxa" w:w="1400"/>
            <w:shd w:fill="F2F2F2" w:val="clear"/>
          </w:tcPr>
          <w:p>
            <w:pPr>
              <w:jc w:val="left"/>
            </w:pPr>
            <w:r>
              <w:rPr>
                <w:b w:val="false"/>
                <w:bCs w:val="false"/>
                <w:sz w:val="20"/>
                <w:szCs w:val="20"/>
              </w:rPr>
              <w:t xml:space="preserve">+200 bps</w:t>
            </w:r>
          </w:p>
        </w:tc>
        <w:tc>
          <w:tcPr>
            <w:tcW w:type="dxa" w:w="1600"/>
            <w:shd w:fill="F2F2F2" w:val="clear"/>
          </w:tcPr>
          <w:p>
            <w:pPr>
              <w:jc w:val="left"/>
            </w:pPr>
            <w:r>
              <w:rPr>
                <w:b w:val="false"/>
                <w:bCs w:val="false"/>
                <w:sz w:val="20"/>
                <w:szCs w:val="20"/>
              </w:rPr>
              <w:t xml:space="preserve">9.74%</w:t>
            </w:r>
          </w:p>
        </w:tc>
        <w:tc>
          <w:tcPr>
            <w:tcW w:type="dxa" w:w="2200"/>
            <w:shd w:fill="F2F2F2" w:val="clear"/>
          </w:tcPr>
          <w:p>
            <w:pPr>
              <w:jc w:val="left"/>
            </w:pPr>
            <w:r>
              <w:rPr>
                <w:b w:val="false"/>
                <w:bCs w:val="false"/>
                <w:sz w:val="20"/>
                <w:szCs w:val="20"/>
              </w:rPr>
              <w:t xml:space="preserve">PHP 47,395</w:t>
            </w:r>
          </w:p>
        </w:tc>
        <w:tc>
          <w:tcPr>
            <w:tcW w:type="dxa" w:w="2220"/>
            <w:shd w:fill="F2F2F2" w:val="clear"/>
          </w:tcPr>
          <w:p>
            <w:pPr>
              <w:jc w:val="left"/>
            </w:pPr>
            <w:r>
              <w:rPr>
                <w:b w:val="false"/>
                <w:bCs w:val="false"/>
                <w:sz w:val="20"/>
                <w:szCs w:val="20"/>
              </w:rPr>
              <w:t xml:space="preserve">+PHP 6,376 (15.5%)</w:t>
            </w:r>
          </w:p>
        </w:tc>
        <w:tc>
          <w:tcPr>
            <w:tcW w:type="dxa" w:w="1600"/>
            <w:shd w:fill="F2F2F2" w:val="clear"/>
          </w:tcPr>
          <w:p>
            <w:pPr>
              <w:jc w:val="left"/>
            </w:pPr>
            <w:r>
              <w:rPr>
                <w:b w:val="false"/>
                <w:bCs w:val="false"/>
                <w:sz w:val="20"/>
                <w:szCs w:val="20"/>
              </w:rPr>
              <w:t xml:space="preserve">PHP 6,374,695</w:t>
            </w:r>
          </w:p>
        </w:tc>
      </w:tr>
    </w:tbl>
    <w:p>
      <w:pPr>
        <w:spacing w:after="200"/>
        <w:jc w:val="center"/>
      </w:pPr>
      <w:r>
        <w:drawing>
          <wp:inline distT="0" distB="0" distL="0" distR="0">
            <wp:extent cx="49530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495675"/>
                    </a:xfrm>
                    <a:prstGeom prst="rect">
                      <a:avLst/>
                    </a:prstGeom>
                  </pic:spPr>
                </pic:pic>
              </a:graphicData>
            </a:graphic>
          </wp:inline>
        </w:drawing>
      </w:r>
    </w:p>
    <w:p>
      <w:pPr>
        <w:spacing w:after="160"/>
      </w:pPr>
      <w:r>
        <w:t xml:space="preserve">A +200bp scenario — not far from what BSP delivered cumulatively across 2022–2023 — adds over PHP 6,300 to the monthly bill and more than PHP 1.5 million in additional interest paid over the life of the loan. For a household budgeting tightly around a target monthly payment, even a +50bp move (well within the range of a single BSP Monetary Board decision) adds a non-trivial PHP 1,555 per month.</w:t>
      </w:r>
    </w:p>
    <w:p>
      <w:r>
        <w:br w:type="page"/>
      </w:r>
    </w:p>
    <w:p>
      <w:pPr>
        <w:pStyle w:val="Heading1"/>
        <w:spacing w:after="160" w:before="360"/>
      </w:pPr>
      <w:r>
        <w:t xml:space="preserve">Strategic Takeaways by User Persona</w:t>
      </w:r>
    </w:p>
    <w:p>
      <w:pPr>
        <w:pStyle w:val="Heading2"/>
        <w:spacing w:after="120" w:before="280"/>
      </w:pPr>
      <w:r>
        <w:t xml:space="preserve">(a) First-Time Homebuyer</w:t>
      </w:r>
    </w:p>
    <w:p>
      <w:pPr>
        <w:pStyle w:val="ListParagraph"/>
        <w:numPr>
          <w:ilvl w:val="0"/>
          <w:numId w:val="1"/>
        </w:numPr>
        <w:spacing w:after="80"/>
      </w:pPr>
      <w:r>
        <w:t xml:space="preserve">Rate cuts help you less than you'd think, and rate hikes hurt you less than you'd fear — if you're buying a single-detached home. Our model finds no statistically distinguishable price response in this segment to BSP moves in either direction.</w:t>
      </w:r>
    </w:p>
    <w:p>
      <w:pPr>
        <w:pStyle w:val="ListParagraph"/>
        <w:numPr>
          <w:ilvl w:val="0"/>
          <w:numId w:val="1"/>
        </w:numPr>
        <w:spacing w:after="80"/>
      </w:pPr>
      <w:r>
        <w:t xml:space="preserve">If you're financing near your maximum comfortable monthly payment, run your own numbers at +100bp and +200bp above today's quoted rate before committing — see the Mortgage Stress Matrix above. A PHP 5M loan can see its monthly bill rise by over PHP 6,000 in a stress scenario.</w:t>
      </w:r>
    </w:p>
    <w:p>
      <w:pPr>
        <w:pStyle w:val="ListParagraph"/>
        <w:numPr>
          <w:ilvl w:val="0"/>
          <w:numId w:val="1"/>
        </w:numPr>
        <w:spacing w:after="80"/>
      </w:pPr>
      <w:r>
        <w:t xml:space="preserve">Because bank lending rates only pass through about 79% of a BSP move in the same quarter (rising to ~89% after a year), a BSP cut you read about in the news will not fully show up in your quoted mortgage rate immediately — expect a lag of one to two quarters before the full benefit (or full cost) reaches you.</w:t>
      </w:r>
    </w:p>
    <w:p>
      <w:pPr>
        <w:pStyle w:val="Heading2"/>
        <w:spacing w:after="120" w:before="280"/>
      </w:pPr>
      <w:r>
        <w:t xml:space="preserve">(b) Condominium Investor</w:t>
      </w:r>
    </w:p>
    <w:p>
      <w:pPr>
        <w:pStyle w:val="ListParagraph"/>
        <w:numPr>
          <w:ilvl w:val="0"/>
          <w:numId w:val="1"/>
        </w:numPr>
        <w:spacing w:after="80"/>
      </w:pPr>
      <w:r>
        <w:t xml:space="preserve">You are the segment most exposed to policy rate swings. A +100bp hike is associated with roughly a 2.5%–3.3% cumulative price decline within two to four quarters in this study's estimates — factor this into entry/exit timing, not just headline inflation or GDP news.</w:t>
      </w:r>
    </w:p>
    <w:p>
      <w:pPr>
        <w:pStyle w:val="ListParagraph"/>
        <w:numPr>
          <w:ilvl w:val="0"/>
          <w:numId w:val="1"/>
        </w:numPr>
        <w:spacing w:after="80"/>
      </w:pPr>
      <w:r>
        <w:t xml:space="preserve">The effect is front-loaded: most of the downside materializes within the first year, with signs of stabilization by quarters 5–8. This has implications for holding-period strategy around a tightening cycle versus an easing one.</w:t>
      </w:r>
    </w:p>
    <w:p>
      <w:pPr>
        <w:pStyle w:val="ListParagraph"/>
        <w:numPr>
          <w:ilvl w:val="0"/>
          <w:numId w:val="1"/>
        </w:numPr>
        <w:spacing w:after="80"/>
      </w:pPr>
      <w:r>
        <w:t xml:space="preserve">Given the wide confidence intervals in this small-sample study, don't treat the point estimate as a precise forecast — treat the direction and relative magnitude (condos most sensitive, houses least) as the more reliable signal than the exact percentage.</w:t>
      </w:r>
    </w:p>
    <w:p>
      <w:pPr>
        <w:pStyle w:val="Heading2"/>
        <w:spacing w:after="120" w:before="280"/>
      </w:pPr>
      <w:r>
        <w:t xml:space="preserve">(c) Bank Risk Officer</w:t>
      </w:r>
    </w:p>
    <w:p>
      <w:pPr>
        <w:pStyle w:val="ListParagraph"/>
        <w:numPr>
          <w:ilvl w:val="0"/>
          <w:numId w:val="1"/>
        </w:numPr>
        <w:spacing w:after="80"/>
      </w:pPr>
      <w:r>
        <w:t xml:space="preserve">Condominium-collateralized loan books carry materially higher rate-cycle price risk than single-detached collateral — loan-to-value buffers and stress-testing assumptions should reflect this asymmetry rather than a single blended real-estate-sector shock.</w:t>
      </w:r>
    </w:p>
    <w:p>
      <w:pPr>
        <w:pStyle w:val="ListParagraph"/>
        <w:numPr>
          <w:ilvl w:val="0"/>
          <w:numId w:val="1"/>
        </w:numPr>
        <w:spacing w:after="80"/>
      </w:pPr>
      <w:r>
        <w:t xml:space="preserve">Incomplete and lagged pass-through (≈79% same-quarter, ≈89% at 4 quarters) means net interest margin effects from a BSP move will build gradually over roughly a year, not instantaneously — relevant for NIM forecasting and ALM modeling.</w:t>
      </w:r>
    </w:p>
    <w:p>
      <w:pPr>
        <w:pStyle w:val="ListParagraph"/>
        <w:numPr>
          <w:ilvl w:val="0"/>
          <w:numId w:val="1"/>
        </w:numPr>
        <w:spacing w:after="80"/>
      </w:pPr>
      <w:r>
        <w:t xml:space="preserve">The small effective sample size (8 clusters) argues for supplementing any single point estimate with the Bayesian hierarchical model's posterior credible intervals when setting internal capital or provisioning buffers, rather than relying on a single frequentist coefficient.</w:t>
      </w:r>
    </w:p>
    <w:p>
      <w:r>
        <w:br w:type="page"/>
      </w:r>
    </w:p>
    <w:p>
      <w:pPr>
        <w:pStyle w:val="Heading1"/>
        <w:spacing w:after="160" w:before="360"/>
      </w:pPr>
      <w:r>
        <w:t xml:space="preserve">Limitations &amp; Caveats</w:t>
      </w:r>
    </w:p>
    <w:p>
      <w:pPr>
        <w:pStyle w:val="ListParagraph"/>
        <w:numPr>
          <w:ilvl w:val="0"/>
          <w:numId w:val="1"/>
        </w:numPr>
        <w:spacing w:after="80"/>
      </w:pPr>
      <w:r>
        <w:t xml:space="preserve">This study uses a reproducible SYNTHETIC panel calibrated to match published BSP/PSA aggregate statistics, not BSP's confidential loan-level microdata. Coefficient magnitudes should be read as illustrative of plausible transmission patterns, not as official BSP-published elasticities.</w:t>
      </w:r>
    </w:p>
    <w:p>
      <w:pPr>
        <w:pStyle w:val="ListParagraph"/>
        <w:numPr>
          <w:ilvl w:val="0"/>
          <w:numId w:val="1"/>
        </w:numPr>
        <w:spacing w:after="80"/>
      </w:pPr>
      <w:r>
        <w:t xml:space="preserve">With only 8 cross-sectional clusters, inference is inherently limited; wild cluster bootstrap p-values (reported above) are the more defensible benchmark than naive cluster-robust p-values, and even they show considerable uncertainty at longer horizons.</w:t>
      </w:r>
    </w:p>
    <w:p>
      <w:pPr>
        <w:pStyle w:val="ListParagraph"/>
        <w:numPr>
          <w:ilvl w:val="0"/>
          <w:numId w:val="1"/>
        </w:numPr>
        <w:spacing w:after="80"/>
      </w:pPr>
      <w:r>
        <w:t xml:space="preserve">The model does not capture macroprudential policy changes (loan-to-value caps, real estate loan concentration limits), foreign buyer regulation changes, or supply-side shocks (construction costs, land use policy) that can independently move property prices alongside monetary policy.</w:t>
      </w:r>
    </w:p>
    <w:p>
      <w:pPr>
        <w:pStyle w:val="ListParagraph"/>
        <w:numPr>
          <w:ilvl w:val="0"/>
          <w:numId w:val="1"/>
        </w:numPr>
        <w:spacing w:after="80"/>
      </w:pPr>
      <w:r>
        <w:t xml:space="preserve">The 2026 policy path includes a genuine regime change — BSP reversed from cutting to hiking mid-year on an oil/fertilizer inflation shock — which shortens the usable post-shock window for that specific episode and adds real-world uncertainty beyond what the model's standard errors capture.</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BSP Rate-to-Housing Transmission Study | Aug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pPr>
    <w:rPr>
      <w:b/>
      <w:bCs/>
      <w:color w:val="2C5F2D"/>
      <w:sz w:val="32"/>
      <w:szCs w:val="32"/>
    </w:rPr>
  </w:style>
  <w:style w:type="paragraph" w:styleId="Heading2">
    <w:name w:val="Heading 2"/>
    <w:basedOn w:val="Normal"/>
    <w:next w:val="Normal"/>
    <w:pPr>
      <w:spacing w:after="120" w:before="280"/>
    </w:pPr>
    <w:rPr>
      <w:b/>
      <w:bCs/>
      <w:color w:val="1F3D20"/>
      <w:sz w:val="26"/>
      <w:szCs w:val="26"/>
    </w:rPr>
  </w:style>
  <w:style w:type="paragraph" w:styleId="Heading3">
    <w:name w:val="Heading 3"/>
    <w:basedOn w:val="Normal"/>
    <w:next w:val="Normal"/>
    <w:pPr>
      <w:spacing w:after="100" w:before="200"/>
    </w:pPr>
    <w:rPr>
      <w:b/>
      <w:bCs/>
      <w:color w:val="C1440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d9c8c42805321d009822e627139bbe7561003d4.png"/><Relationship Id="rId10" Type="http://schemas.openxmlformats.org/officeDocument/2006/relationships/image" Target="media/405d89b2d54d4701e9290bcdf551d355e99ac0f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2026-08-28T00:08:29.477Z</dcterms:created>
  <dcterms:modified xsi:type="dcterms:W3CDTF">2026-08-28T00:08:29.478Z</dcterms:modified>
</cp:coreProperties>
</file>

<file path=docProps/custom.xml><?xml version="1.0" encoding="utf-8"?>
<Properties xmlns="http://schemas.openxmlformats.org/officeDocument/2006/custom-properties" xmlns:vt="http://schemas.openxmlformats.org/officeDocument/2006/docPropsVTypes"/>
</file>