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23.png" ContentType="image/png"/>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5334000"/>
            <wp:effectExtent b="0" l="0" r="0" t="0"/>
            <wp:docPr descr="" title="" id="21" name="Picture"/>
            <a:graphic>
              <a:graphicData uri="http://schemas.openxmlformats.org/drawingml/2006/picture">
                <pic:pic>
                  <pic:nvPicPr>
                    <pic:cNvPr descr="../figures/fig1.pdf"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1</w:t>
      </w:r>
      <w:r>
        <w:t xml:space="preserve">: Correlations among estimated line means for male and female early and late-life fitness. The line means were estimated from Bayesian mixed models that account for block effects and the non-independence of our early- and late-life fitness measurements. The grey ellipses show where 95% of genotypes are expected to fall in bivariate trait space, and the histograms show variation in line means.</w:t>
      </w:r>
    </w:p>
    <w:p>
      <w:r>
        <w:br w:type="page"/>
      </w:r>
    </w:p>
    <w:p>
      <w:pPr>
        <w:pStyle w:val="BodyText"/>
      </w:pPr>
      <w:r>
        <w:drawing>
          <wp:inline>
            <wp:extent cx="5334000" cy="5000625"/>
            <wp:effectExtent b="0" l="0" r="0" t="0"/>
            <wp:docPr descr="" title="" id="24" name="Picture"/>
            <a:graphic>
              <a:graphicData uri="http://schemas.openxmlformats.org/drawingml/2006/picture">
                <pic:pic>
                  <pic:nvPicPr>
                    <pic:cNvPr descr="../figures/fig2_SNPs_manhattan_plot_edited.png" id="25" name="Picture"/>
                    <pic:cNvPicPr>
                      <a:picLocks noChangeArrowheads="1" noChangeAspect="1"/>
                    </pic:cNvPicPr>
                  </pic:nvPicPr>
                  <pic:blipFill>
                    <a:blip r:embed="rId23"/>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iCs/>
          <w:i/>
          <w:bCs/>
          <w:b/>
        </w:rPr>
        <w:t xml:space="preserve">Figure 2</w:t>
      </w:r>
      <w:r>
        <w:t xml:space="preserve">: Panels A and B show the mashr-adjusted effect sizes of 1,207,357 polymorphic loci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rPr>
            <m:sty m:val="p"/>
          </m:rP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27" name="Picture"/>
            <a:graphic>
              <a:graphicData uri="http://schemas.openxmlformats.org/drawingml/2006/picture">
                <pic:pic>
                  <pic:nvPicPr>
                    <pic:cNvPr descr="../figures/fig3_boyle_plot.pdf"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Cs/>
          <w:i/>
          <w:bCs/>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2624296"/>
            <wp:effectExtent b="0" l="0" r="0" t="0"/>
            <wp:docPr descr="" title="" id="30" name="Picture"/>
            <a:graphic>
              <a:graphicData uri="http://schemas.openxmlformats.org/drawingml/2006/picture">
                <pic:pic>
                  <pic:nvPicPr>
                    <pic:cNvPr descr="../figures/fig4_mutation_load.pdf" id="31" name="Picture"/>
                    <pic:cNvPicPr>
                      <a:picLocks noChangeArrowheads="1" noChangeAspect="1"/>
                    </pic:cNvPicPr>
                  </pic:nvPicPr>
                  <pic:blipFill>
                    <a:blip r:embed="rId29"/>
                    <a:stretch>
                      <a:fillRect/>
                    </a:stretch>
                  </pic:blipFill>
                  <pic:spPr bwMode="auto">
                    <a:xfrm>
                      <a:off x="0" y="0"/>
                      <a:ext cx="5334000" cy="2624296"/>
                    </a:xfrm>
                    <a:prstGeom prst="rect">
                      <a:avLst/>
                    </a:prstGeom>
                    <a:noFill/>
                    <a:ln w="9525">
                      <a:noFill/>
                      <a:headEnd/>
                      <a:tailEnd/>
                    </a:ln>
                  </pic:spPr>
                </pic:pic>
              </a:graphicData>
            </a:graphic>
          </wp:inline>
        </w:drawing>
      </w:r>
    </w:p>
    <w:p>
      <w:pPr>
        <w:pStyle w:val="BodyText"/>
      </w:pPr>
      <w:r>
        <w:rPr>
          <w:iCs/>
          <w:i/>
          <w:bCs/>
          <w:b/>
        </w:rPr>
        <w:t xml:space="preserve">Figure 4</w:t>
      </w:r>
      <w:r>
        <w:t xml:space="preserve">: Panels A-D show the relationship across DGRP lines between mutation load and line mean fitness; the regression lines are from a Bayesian multivariate model that accounts for the covariance in line mean fitness. Panel E shows the posterior estimates of the four regression slopes (i.e. the effect size of 100 mutations on fitness, where fitness is measured in standard units on the scale of the linear predictor), with the black bars summarising the median and 66% and 95% credible intervals. Panel F shows the posterior estimates of the differences in this effect size between pairs of fitness traits.</w:t>
      </w:r>
    </w:p>
    <w:p>
      <w:r>
        <w:br w:type="page"/>
      </w:r>
    </w:p>
    <w:p>
      <w:pPr>
        <w:pStyle w:val="BodyText"/>
      </w:pPr>
      <w:r>
        <w:drawing>
          <wp:inline>
            <wp:extent cx="5334000" cy="4572000"/>
            <wp:effectExtent b="0" l="0" r="0" t="0"/>
            <wp:docPr descr="" title="" id="33" name="Picture"/>
            <a:graphic>
              <a:graphicData uri="http://schemas.openxmlformats.org/drawingml/2006/picture">
                <pic:pic>
                  <pic:nvPicPr>
                    <pic:cNvPr descr="../figures/fig5_quartiles_plot.pdf" id="34"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Cs/>
          <w:i/>
          <w:bCs/>
          <w:b/>
        </w:rPr>
        <w:t xml:space="preserve">Figure 5</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36" name="Picture"/>
            <a:graphic>
              <a:graphicData uri="http://schemas.openxmlformats.org/drawingml/2006/picture">
                <pic:pic>
                  <pic:nvPicPr>
                    <pic:cNvPr descr="../figures/fig6_antagonism_ratios.pdf" id="37" name="Picture"/>
                    <pic:cNvPicPr>
                      <a:picLocks noChangeArrowheads="1" noChangeAspect="1"/>
                    </pic:cNvPicPr>
                  </pic:nvPicPr>
                  <pic:blipFill>
                    <a:blip r:embed="rId35"/>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Cs/>
          <w:i/>
          <w:bCs/>
          <w:b/>
        </w:rPr>
        <w:t xml:space="preserve">Figure 6</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figures/fig7_models.pd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7</w:t>
      </w:r>
      <w:r>
        <w:t xml:space="preserve">: Panels A and B show the predicted effects of minor allele frequency and chromosome, respectively, on the probability that a locus is among the top 1% candidate sexually antagonistic loci, ranked by evidence ratio. Panel C shows the predicted effect of average log2 gene expression level on the probability that a transcript is among the top 1% candidate sexually antagonistic transcript. The dashed lines and error bars show 95% confidence intervals, estimated as 1.96SE, and predictions are from binomial GLMs (one GLM for panels A-B, another for Panel C).</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23" Target="media/rId23.png"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2023-05-15T09:58:53Z</dcterms:created>
  <dcterms:modified xsi:type="dcterms:W3CDTF">2023-05-15T09:58:53Z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