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df" ContentType="application/pdf"/>
  <Override PartName="/word/media/rId23.png" ContentType="image/png"/>
  <Override PartName="/word/media/rId26.pdf" ContentType="application/pdf"/>
  <Override PartName="/word/media/rId29.pdf" ContentType="application/pdf"/>
  <Override PartName="/word/media/rId32.pdf" ContentType="application/pdf"/>
  <Override PartName="/word/media/rId35.pdf" ContentType="application/pdf"/>
  <Override PartName="/word/media/rId3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6968408"/>
            <wp:effectExtent b="0" l="0" r="0" t="0"/>
            <wp:docPr descr="" title="" id="21" name="Picture"/>
            <a:graphic>
              <a:graphicData uri="http://schemas.openxmlformats.org/drawingml/2006/picture">
                <pic:pic>
                  <pic:nvPicPr>
                    <pic:cNvPr descr="../figures/fig1.pdf" id="22" name="Picture"/>
                    <pic:cNvPicPr>
                      <a:picLocks noChangeArrowheads="1" noChangeAspect="1"/>
                    </pic:cNvPicPr>
                  </pic:nvPicPr>
                  <pic:blipFill>
                    <a:blip r:embed="rId20"/>
                    <a:stretch>
                      <a:fillRect/>
                    </a:stretch>
                  </pic:blipFill>
                  <pic:spPr bwMode="auto">
                    <a:xfrm>
                      <a:off x="0" y="0"/>
                      <a:ext cx="5334000" cy="6968408"/>
                    </a:xfrm>
                    <a:prstGeom prst="rect">
                      <a:avLst/>
                    </a:prstGeom>
                    <a:noFill/>
                    <a:ln w="9525">
                      <a:noFill/>
                      <a:headEnd/>
                      <a:tailEnd/>
                    </a:ln>
                  </pic:spPr>
                </pic:pic>
              </a:graphicData>
            </a:graphic>
          </wp:inline>
        </w:drawing>
      </w:r>
    </w:p>
    <w:p>
      <w:pPr>
        <w:pStyle w:val="BodyText"/>
      </w:pPr>
      <w:r>
        <w:rPr>
          <w:iCs/>
          <w:i/>
          <w:bCs/>
          <w:b/>
        </w:rPr>
        <w:t xml:space="preserve">Figure 1</w:t>
      </w:r>
      <w:r>
        <w:t xml:space="preserve">: Correlations among estimated line means for fitness between sexes and age classes. The line means were estimated from Bayesian mixed models that account for block effects and the non-independence of our early- and late-life fitness measurements. Grey ellipses show where 95% of genotypes are expected to fall in bivariate trait space, and histograms show the variation in line means.</w:t>
      </w:r>
    </w:p>
    <w:p>
      <w:r>
        <w:br w:type="page"/>
      </w:r>
    </w:p>
    <w:p>
      <w:pPr>
        <w:pStyle w:val="BodyText"/>
      </w:pPr>
      <w:r>
        <w:drawing>
          <wp:inline>
            <wp:extent cx="5334000" cy="5000625"/>
            <wp:effectExtent b="0" l="0" r="0" t="0"/>
            <wp:docPr descr="" title="" id="24" name="Picture"/>
            <a:graphic>
              <a:graphicData uri="http://schemas.openxmlformats.org/drawingml/2006/picture">
                <pic:pic>
                  <pic:nvPicPr>
                    <pic:cNvPr descr="../figures/fig2_SNPs_manhattan_plot_edited.png" id="25" name="Picture"/>
                    <pic:cNvPicPr>
                      <a:picLocks noChangeArrowheads="1" noChangeAspect="1"/>
                    </pic:cNvPicPr>
                  </pic:nvPicPr>
                  <pic:blipFill>
                    <a:blip r:embed="rId23"/>
                    <a:stretch>
                      <a:fillRect/>
                    </a:stretch>
                  </pic:blipFill>
                  <pic:spPr bwMode="auto">
                    <a:xfrm>
                      <a:off x="0" y="0"/>
                      <a:ext cx="5334000" cy="5000625"/>
                    </a:xfrm>
                    <a:prstGeom prst="rect">
                      <a:avLst/>
                    </a:prstGeom>
                    <a:noFill/>
                    <a:ln w="9525">
                      <a:noFill/>
                      <a:headEnd/>
                      <a:tailEnd/>
                    </a:ln>
                  </pic:spPr>
                </pic:pic>
              </a:graphicData>
            </a:graphic>
          </wp:inline>
        </w:drawing>
      </w:r>
    </w:p>
    <w:p>
      <w:pPr>
        <w:pStyle w:val="BodyText"/>
      </w:pPr>
      <w:r>
        <w:rPr>
          <w:iCs/>
          <w:i/>
          <w:bCs/>
          <w:b/>
        </w:rPr>
        <w:t xml:space="preserve">Figure 2</w:t>
      </w:r>
      <w:r>
        <w:t xml:space="preserve">: Panels A and B show the mashr-adjusted effect sizes of 1,207,357 polymorphic loci on male and female early- and late-life fitness. The data have been binned into hexagons, with the colour and contour lines indicating the number of loci in each bin. Positive effect sizes indicate that the minor allele is associated with higher fitness and the major allele with lower fitness. Panel C shows a pair of Manhattan plots, showing the chromosomal position and</w:t>
      </w:r>
      <w:r>
        <w:t xml:space="preserve"> </w:t>
      </w:r>
      <m:oMath>
        <m:r>
          <m:rPr>
            <m:sty m:val="p"/>
          </m:rPr>
          <m:t>−</m:t>
        </m:r>
        <m:r>
          <m:t>L</m:t>
        </m:r>
        <m:r>
          <m:t>o</m:t>
        </m:r>
        <m:sSub>
          <m:e>
            <m:r>
              <m:t>g</m:t>
            </m:r>
          </m:e>
          <m:sub>
            <m:r>
              <m:t>10</m:t>
            </m:r>
          </m:sub>
        </m:sSub>
      </m:oMath>
      <w:r>
        <w:t xml:space="preserve"> </w:t>
      </w:r>
      <m:oMath>
        <m:r>
          <m:t>p</m:t>
        </m:r>
      </m:oMath>
      <w:r>
        <w:t xml:space="preserve">-value (from linear mixed model GWAS using GEMMA) for each locus’s effect on female (top) and male (bottom) early-life fitness.</w:t>
      </w:r>
    </w:p>
    <w:p>
      <w:r>
        <w:br w:type="page"/>
      </w:r>
    </w:p>
    <w:p>
      <w:pPr>
        <w:pStyle w:val="BodyText"/>
      </w:pPr>
      <w:r>
        <w:drawing>
          <wp:inline>
            <wp:extent cx="5334000" cy="3111500"/>
            <wp:effectExtent b="0" l="0" r="0" t="0"/>
            <wp:docPr descr="" title="" id="27" name="Picture"/>
            <a:graphic>
              <a:graphicData uri="http://schemas.openxmlformats.org/drawingml/2006/picture">
                <pic:pic>
                  <pic:nvPicPr>
                    <pic:cNvPr descr="../figures/fig3_boyle_plot.pdf" id="28" name="Picture"/>
                    <pic:cNvPicPr>
                      <a:picLocks noChangeArrowheads="1" noChangeAspect="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rPr>
          <w:iCs/>
          <w:i/>
          <w:bCs/>
          <w:b/>
        </w:rPr>
        <w:t xml:space="preserve">Figure 3</w:t>
      </w:r>
      <w:r>
        <w:t xml:space="preserve">: Estimated mean effect size for groups of 1,000 variants, on male and female early-life (panel A) and late-life (panel B) fitness. The variant groups were created by sorting variants by their estimated effect size on female fitness, then dividing the sorted list into groups of 1,000. This analysis was performed on a pruned set of 208,987 variants in approximate linkage disequilibrium with one another. The observed positive relationships imply that large numbers of loci have small effects on the fitness of both sexes (see main text). The fit lines are from a quadratic linear regression, and the shaded area shows the standard error.</w:t>
      </w:r>
    </w:p>
    <w:p>
      <w:r>
        <w:br w:type="page"/>
      </w:r>
    </w:p>
    <w:p>
      <w:pPr>
        <w:pStyle w:val="BodyText"/>
      </w:pPr>
      <w:r>
        <w:drawing>
          <wp:inline>
            <wp:extent cx="5334000" cy="2624296"/>
            <wp:effectExtent b="0" l="0" r="0" t="0"/>
            <wp:docPr descr="" title="" id="30" name="Picture"/>
            <a:graphic>
              <a:graphicData uri="http://schemas.openxmlformats.org/drawingml/2006/picture">
                <pic:pic>
                  <pic:nvPicPr>
                    <pic:cNvPr descr="../figures/fig4_mutation_load.pdf" id="31" name="Picture"/>
                    <pic:cNvPicPr>
                      <a:picLocks noChangeArrowheads="1" noChangeAspect="1"/>
                    </pic:cNvPicPr>
                  </pic:nvPicPr>
                  <pic:blipFill>
                    <a:blip r:embed="rId29"/>
                    <a:stretch>
                      <a:fillRect/>
                    </a:stretch>
                  </pic:blipFill>
                  <pic:spPr bwMode="auto">
                    <a:xfrm>
                      <a:off x="0" y="0"/>
                      <a:ext cx="5334000" cy="2624296"/>
                    </a:xfrm>
                    <a:prstGeom prst="rect">
                      <a:avLst/>
                    </a:prstGeom>
                    <a:noFill/>
                    <a:ln w="9525">
                      <a:noFill/>
                      <a:headEnd/>
                      <a:tailEnd/>
                    </a:ln>
                  </pic:spPr>
                </pic:pic>
              </a:graphicData>
            </a:graphic>
          </wp:inline>
        </w:drawing>
      </w:r>
    </w:p>
    <w:p>
      <w:pPr>
        <w:pStyle w:val="BodyText"/>
      </w:pPr>
      <w:r>
        <w:rPr>
          <w:iCs/>
          <w:i/>
          <w:bCs/>
          <w:b/>
        </w:rPr>
        <w:t xml:space="preserve">Figure 4</w:t>
      </w:r>
      <w:r>
        <w:t xml:space="preserve">: Panels A-D show the relationship across DGRP lines between mutation load and line mean fitness; the regression lines are from a Bayesian multivariate model that accounts for the covariance in line mean fitness. Panel E shows the posterior estimates of the four regression slopes (i.e. the effect size of 100 mutations on fitness, where fitness is measured in standard units on the scale of the linear predictor), with the black bars summarising the median and 66% and 95% credible intervals. Panel F shows the posterior estimates of the differences in this effect size between pairs of fitness traits.</w:t>
      </w:r>
    </w:p>
    <w:p>
      <w:r>
        <w:br w:type="page"/>
      </w:r>
    </w:p>
    <w:p>
      <w:pPr>
        <w:pStyle w:val="BodyText"/>
      </w:pPr>
      <w:r>
        <w:drawing>
          <wp:inline>
            <wp:extent cx="5334000" cy="4572000"/>
            <wp:effectExtent b="0" l="0" r="0" t="0"/>
            <wp:docPr descr="" title="" id="33" name="Picture"/>
            <a:graphic>
              <a:graphicData uri="http://schemas.openxmlformats.org/drawingml/2006/picture">
                <pic:pic>
                  <pic:nvPicPr>
                    <pic:cNvPr descr="../figures/fig5_quartiles_plot.pdf" id="34" name="Picture"/>
                    <pic:cNvPicPr>
                      <a:picLocks noChangeArrowheads="1" noChangeAspect="1"/>
                    </pic:cNvPicPr>
                  </pic:nvPicPr>
                  <pic:blipFill>
                    <a:blip r:embed="rId32"/>
                    <a:stretch>
                      <a:fillRect/>
                    </a:stretch>
                  </pic:blipFill>
                  <pic:spPr bwMode="auto">
                    <a:xfrm>
                      <a:off x="0" y="0"/>
                      <a:ext cx="5334000" cy="4572000"/>
                    </a:xfrm>
                    <a:prstGeom prst="rect">
                      <a:avLst/>
                    </a:prstGeom>
                    <a:noFill/>
                    <a:ln w="9525">
                      <a:noFill/>
                      <a:headEnd/>
                      <a:tailEnd/>
                    </a:ln>
                  </pic:spPr>
                </pic:pic>
              </a:graphicData>
            </a:graphic>
          </wp:inline>
        </w:drawing>
      </w:r>
    </w:p>
    <w:p>
      <w:pPr>
        <w:pStyle w:val="BodyText"/>
      </w:pPr>
      <w:r>
        <w:rPr>
          <w:iCs/>
          <w:i/>
          <w:bCs/>
          <w:b/>
        </w:rPr>
        <w:t xml:space="preserve">Figure 5</w:t>
      </w:r>
      <w:r>
        <w:t xml:space="preserve">: This plot tallies the number of loci (panels A-B) and transcripts (C-D) falling into each quartile in their effect on male and female fitness. Because the median effect size is essentially zero, quartiles 1-4 have been labelled negative, weakly negative, weakly positive, and positive respectively. For example, the largest red area in panel A illustrates the number of loci whose effect size for female early-life fitness was in quartile 1 (i.e. the 25% most negative effects), which were also in quartile 1 for male early-life fitness.</w:t>
      </w:r>
    </w:p>
    <w:p>
      <w:r>
        <w:br w:type="page"/>
      </w:r>
    </w:p>
    <w:p>
      <w:pPr>
        <w:pStyle w:val="BodyText"/>
      </w:pPr>
      <w:r>
        <w:drawing>
          <wp:inline>
            <wp:extent cx="5334000" cy="3067921"/>
            <wp:effectExtent b="0" l="0" r="0" t="0"/>
            <wp:docPr descr="" title="" id="36" name="Picture"/>
            <a:graphic>
              <a:graphicData uri="http://schemas.openxmlformats.org/drawingml/2006/picture">
                <pic:pic>
                  <pic:nvPicPr>
                    <pic:cNvPr descr="../figures/fig6_antagonism_ratios.pdf" id="37" name="Picture"/>
                    <pic:cNvPicPr>
                      <a:picLocks noChangeArrowheads="1" noChangeAspect="1"/>
                    </pic:cNvPicPr>
                  </pic:nvPicPr>
                  <pic:blipFill>
                    <a:blip r:embed="rId35"/>
                    <a:stretch>
                      <a:fillRect/>
                    </a:stretch>
                  </pic:blipFill>
                  <pic:spPr bwMode="auto">
                    <a:xfrm>
                      <a:off x="0" y="0"/>
                      <a:ext cx="5334000" cy="3067921"/>
                    </a:xfrm>
                    <a:prstGeom prst="rect">
                      <a:avLst/>
                    </a:prstGeom>
                    <a:noFill/>
                    <a:ln w="9525">
                      <a:noFill/>
                      <a:headEnd/>
                      <a:tailEnd/>
                    </a:ln>
                  </pic:spPr>
                </pic:pic>
              </a:graphicData>
            </a:graphic>
          </wp:inline>
        </w:drawing>
      </w:r>
    </w:p>
    <w:p>
      <w:pPr>
        <w:pStyle w:val="BodyText"/>
      </w:pPr>
      <w:r>
        <w:rPr>
          <w:iCs/>
          <w:i/>
          <w:bCs/>
          <w:b/>
        </w:rPr>
        <w:t xml:space="preserve">Figure 6</w:t>
      </w:r>
      <w:r>
        <w:t xml:space="preserve">: Distribution of evidence ratios across loci (panel A) and transcripts (panel B), illustrating the strength of evidence for a concordant relationship with fitness (evidence ratio &gt; 1, blue), or an antagonistic relationship (&lt;1, red). The top row of both panels considers the evidence for concordance/antagonism between the sexes (within each age class), while the bottom row shows concordance/antagonism between age classes (within each sex). The figure illustrates that many loci and transcripts (i.e. those with large evidence ratios) show strong evidence for concordant effects across sexes and age classes. By contrast, there are relatively few candidate sexually antagonistic loci (i.e. those with evidence ratios well below 1), somewhat more sexually antagonistic transcripts, and essentially zero age antagonistic loci or transcripts.</w:t>
      </w:r>
    </w:p>
    <w:p>
      <w:r>
        <w:br w:type="page"/>
      </w:r>
    </w:p>
    <w:p>
      <w:pPr>
        <w:pStyle w:val="BodyText"/>
      </w:pPr>
      <w:r>
        <w:drawing>
          <wp:inline>
            <wp:extent cx="5334000" cy="2963333"/>
            <wp:effectExtent b="0" l="0" r="0" t="0"/>
            <wp:docPr descr="" title="" id="39" name="Picture"/>
            <a:graphic>
              <a:graphicData uri="http://schemas.openxmlformats.org/drawingml/2006/picture">
                <pic:pic>
                  <pic:nvPicPr>
                    <pic:cNvPr descr="../figures/fig7_models.pdf"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rPr>
          <w:iCs/>
          <w:i/>
          <w:bCs/>
          <w:b/>
        </w:rPr>
        <w:t xml:space="preserve">Figure 7</w:t>
      </w:r>
      <w:r>
        <w:t xml:space="preserve">: Panel A shows the predicted probability that a locus is among the top 1% candidate sexually antagonistic loci, ranked by evidence ratio, for each of the major chromosome arms. Panel B shows the predicted relationship between average log2 gene expression level and the probability that a transcript is among the top 1% candidate sexually antagonistic transcript. The predictions are from binomial GLMs, and the error bars and dashed lines show 95% confidence intervals estimated as 1.96SE.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df" /><Relationship Type="http://schemas.openxmlformats.org/officeDocument/2006/relationships/image" Id="rId23" Target="media/rId23.png" /><Relationship Type="http://schemas.openxmlformats.org/officeDocument/2006/relationships/image" Id="rId26" Target="media/rId26.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8" Target="media/rId38.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2023-08-08T09:27:46Z</dcterms:created>
  <dcterms:modified xsi:type="dcterms:W3CDTF">2023-08-08T09:27:46Z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word_document</vt:lpwstr>
  </property>
</Properties>
</file>