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61E95" w14:textId="77777777" w:rsidR="004B23E1" w:rsidRDefault="004B23E1">
      <w:pPr>
        <w:tabs>
          <w:tab w:val="right" w:pos="10800"/>
        </w:tabs>
        <w:spacing w:after="240"/>
        <w:rPr>
          <w:rFonts w:ascii="Times New Roman" w:eastAsiaTheme="minorHAnsi" w:hAnsi="Times New Roman" w:cstheme="minorBidi"/>
          <w:kern w:val="2"/>
          <w:sz w:val="40"/>
          <w:szCs w:val="40"/>
          <w14:ligatures w14:val="standardContextual"/>
        </w:rPr>
      </w:pPr>
    </w:p>
    <w:p w14:paraId="46C9257A" w14:textId="325D10F2" w:rsidR="0068113E" w:rsidRPr="00795E44" w:rsidRDefault="0068113E" w:rsidP="00795E44">
      <w:pPr>
        <w:tabs>
          <w:tab w:val="right" w:pos="10800"/>
        </w:tabs>
        <w:spacing w:after="240"/>
        <w:jc w:val="center"/>
        <w:rPr>
          <w:rFonts w:ascii="Times New Roman" w:eastAsiaTheme="minorHAnsi" w:hAnsi="Times New Roman" w:cstheme="minorBidi"/>
          <w:kern w:val="2"/>
          <w:sz w:val="40"/>
          <w:szCs w:val="40"/>
          <w14:ligatures w14:val="standardContextual"/>
        </w:rPr>
      </w:pPr>
      <w:r>
        <w:rPr>
          <w:b/>
        </w:rPr>
        <w:t xml:space="preserve">AIT-204 Topic 5 Honors Rubric: Product 5B: “TrioDeck” with Honors Addendum — The Fourth Archetype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7"/>
        <w:gridCol w:w="907"/>
        <w:gridCol w:w="3209"/>
        <w:gridCol w:w="2055"/>
        <w:gridCol w:w="2055"/>
        <w:gridCol w:w="2055"/>
        <w:gridCol w:w="2052"/>
      </w:tblGrid>
      <w:tr w:rsidR="00C826F3" w14:paraId="4ECC33E3" w14:textId="77777777" w:rsidTr="00C826F3">
        <w:tc>
          <w:tcPr>
            <w:tcW w:w="715" w:type="pct"/>
            <w:tcMar>
              <w:top w:w="100" w:type="dxa"/>
              <w:left w:w="120" w:type="dxa"/>
              <w:bottom w:w="100" w:type="dxa"/>
              <w:right w:w="120" w:type="dxa"/>
            </w:tcMar>
          </w:tcPr>
          <w:p w14:paraId="4ECC33DD" w14:textId="3787E87D" w:rsidR="00C826F3" w:rsidRPr="00F53B57" w:rsidRDefault="00C826F3" w:rsidP="00C826F3">
            <w:pPr>
              <w:rPr>
                <w:b/>
                <w:bCs/>
                <w:sz w:val="20"/>
                <w:szCs w:val="20"/>
              </w:rPr>
            </w:pPr>
            <w:r w:rsidRPr="00F53B57">
              <w:rPr>
                <w:b/>
                <w:bCs/>
                <w:sz w:val="20"/>
                <w:szCs w:val="20"/>
              </w:rPr>
              <w:t>Criteria</w:t>
            </w:r>
          </w:p>
        </w:tc>
        <w:tc>
          <w:tcPr>
            <w:tcW w:w="315" w:type="pct"/>
          </w:tcPr>
          <w:p w14:paraId="25987EAE" w14:textId="45CF8E89" w:rsidR="00C826F3" w:rsidRPr="00F53B57" w:rsidRDefault="00C826F3" w:rsidP="00C826F3">
            <w:pPr>
              <w:rPr>
                <w:sz w:val="20"/>
                <w:szCs w:val="20"/>
              </w:rPr>
            </w:pPr>
            <w:r w:rsidRPr="00F53B57">
              <w:rPr>
                <w:sz w:val="20"/>
                <w:szCs w:val="20"/>
              </w:rPr>
              <w:t>% Value</w:t>
            </w:r>
          </w:p>
        </w:tc>
        <w:tc>
          <w:tcPr>
            <w:tcW w:w="1115" w:type="pct"/>
            <w:tcMar>
              <w:top w:w="100" w:type="dxa"/>
              <w:left w:w="120" w:type="dxa"/>
              <w:bottom w:w="100" w:type="dxa"/>
              <w:right w:w="120" w:type="dxa"/>
            </w:tcMar>
          </w:tcPr>
          <w:p w14:paraId="4ECC33DE" w14:textId="67B9288C" w:rsidR="00C826F3" w:rsidRPr="00F53B57" w:rsidRDefault="00C826F3" w:rsidP="00C826F3">
            <w:pPr>
              <w:rPr>
                <w:sz w:val="20"/>
                <w:szCs w:val="20"/>
              </w:rPr>
            </w:pPr>
            <w:r w:rsidRPr="00F53B57">
              <w:rPr>
                <w:sz w:val="20"/>
                <w:szCs w:val="20"/>
              </w:rPr>
              <w:t>Unsatisfactory</w:t>
            </w:r>
          </w:p>
        </w:tc>
        <w:tc>
          <w:tcPr>
            <w:tcW w:w="714" w:type="pct"/>
            <w:tcMar>
              <w:top w:w="100" w:type="dxa"/>
              <w:left w:w="120" w:type="dxa"/>
              <w:bottom w:w="100" w:type="dxa"/>
              <w:right w:w="120" w:type="dxa"/>
            </w:tcMar>
          </w:tcPr>
          <w:p w14:paraId="4ECC33DF" w14:textId="4E78E3BE" w:rsidR="00C826F3" w:rsidRPr="00F53B57" w:rsidRDefault="00C826F3" w:rsidP="00C826F3">
            <w:pPr>
              <w:rPr>
                <w:sz w:val="20"/>
                <w:szCs w:val="20"/>
              </w:rPr>
            </w:pPr>
            <w:r w:rsidRPr="00F53B57">
              <w:rPr>
                <w:sz w:val="20"/>
                <w:szCs w:val="20"/>
              </w:rPr>
              <w:t>Insufficient</w:t>
            </w:r>
          </w:p>
        </w:tc>
        <w:tc>
          <w:tcPr>
            <w:tcW w:w="714" w:type="pct"/>
            <w:tcMar>
              <w:top w:w="100" w:type="dxa"/>
              <w:left w:w="120" w:type="dxa"/>
              <w:bottom w:w="100" w:type="dxa"/>
              <w:right w:w="120" w:type="dxa"/>
            </w:tcMar>
          </w:tcPr>
          <w:p w14:paraId="4ECC33E0" w14:textId="1ECFD19F" w:rsidR="00C826F3" w:rsidRPr="00F53B57" w:rsidRDefault="00C826F3" w:rsidP="00C826F3">
            <w:pPr>
              <w:rPr>
                <w:sz w:val="20"/>
                <w:szCs w:val="20"/>
              </w:rPr>
            </w:pPr>
            <w:r w:rsidRPr="00F53B57">
              <w:rPr>
                <w:sz w:val="20"/>
                <w:szCs w:val="20"/>
              </w:rPr>
              <w:t>Approaching</w:t>
            </w:r>
          </w:p>
        </w:tc>
        <w:tc>
          <w:tcPr>
            <w:tcW w:w="714" w:type="pct"/>
            <w:tcMar>
              <w:top w:w="100" w:type="dxa"/>
              <w:left w:w="120" w:type="dxa"/>
              <w:bottom w:w="100" w:type="dxa"/>
              <w:right w:w="120" w:type="dxa"/>
            </w:tcMar>
          </w:tcPr>
          <w:p w14:paraId="4ECC33E1" w14:textId="2FC45185" w:rsidR="00C826F3" w:rsidRPr="00F53B57" w:rsidRDefault="00C826F3" w:rsidP="00C826F3">
            <w:pPr>
              <w:rPr>
                <w:sz w:val="20"/>
                <w:szCs w:val="20"/>
              </w:rPr>
            </w:pPr>
            <w:r w:rsidRPr="00F53B57">
              <w:rPr>
                <w:sz w:val="20"/>
                <w:szCs w:val="20"/>
              </w:rPr>
              <w:t>Acceptable</w:t>
            </w:r>
          </w:p>
        </w:tc>
        <w:tc>
          <w:tcPr>
            <w:tcW w:w="713" w:type="pct"/>
            <w:tcMar>
              <w:top w:w="100" w:type="dxa"/>
              <w:left w:w="120" w:type="dxa"/>
              <w:bottom w:w="100" w:type="dxa"/>
              <w:right w:w="120" w:type="dxa"/>
            </w:tcMar>
          </w:tcPr>
          <w:p w14:paraId="4ECC33E2" w14:textId="01896321" w:rsidR="00C826F3" w:rsidRPr="00F53B57" w:rsidRDefault="0056205E" w:rsidP="00C826F3">
            <w:pPr>
              <w:rPr>
                <w:sz w:val="20"/>
                <w:szCs w:val="20"/>
              </w:rPr>
            </w:pPr>
            <w:r w:rsidRPr="00F53B57">
              <w:rPr>
                <w:sz w:val="20"/>
                <w:szCs w:val="20"/>
              </w:rPr>
              <w:t>Target</w:t>
            </w:r>
          </w:p>
        </w:tc>
      </w:tr>
      <w:tr w:rsidR="00C826F3" w14:paraId="16B1BBB4" w14:textId="77777777" w:rsidTr="00C826F3">
        <w:tc>
          <w:tcPr>
            <w:tcW w:w="715" w:type="pct"/>
            <w:tcBorders>
              <w:bottom w:val="single" w:sz="4" w:space="0" w:color="auto"/>
            </w:tcBorders>
            <w:tcMar>
              <w:top w:w="100" w:type="dxa"/>
              <w:left w:w="120" w:type="dxa"/>
              <w:bottom w:w="100" w:type="dxa"/>
              <w:right w:w="120" w:type="dxa"/>
            </w:tcMar>
          </w:tcPr>
          <w:p w14:paraId="638A0C27" w14:textId="3000610A" w:rsidR="00C826F3" w:rsidRPr="00F53B57" w:rsidRDefault="00C826F3" w:rsidP="00C826F3">
            <w:pPr>
              <w:rPr>
                <w:b/>
                <w:bCs/>
                <w:sz w:val="20"/>
                <w:szCs w:val="20"/>
              </w:rPr>
            </w:pPr>
            <w:r w:rsidRPr="00F53B57">
              <w:rPr>
                <w:b/>
                <w:bCs/>
                <w:sz w:val="20"/>
                <w:szCs w:val="20"/>
              </w:rPr>
              <w:t>% Scaling</w:t>
            </w:r>
          </w:p>
        </w:tc>
        <w:tc>
          <w:tcPr>
            <w:tcW w:w="315" w:type="pct"/>
            <w:tcBorders>
              <w:bottom w:val="single" w:sz="4" w:space="0" w:color="auto"/>
            </w:tcBorders>
          </w:tcPr>
          <w:p w14:paraId="6A4190FD" w14:textId="77777777" w:rsidR="00C826F3" w:rsidRPr="00F53B57" w:rsidRDefault="00C826F3" w:rsidP="00C826F3">
            <w:pPr>
              <w:rPr>
                <w:sz w:val="20"/>
                <w:szCs w:val="20"/>
              </w:rPr>
            </w:pPr>
          </w:p>
        </w:tc>
        <w:tc>
          <w:tcPr>
            <w:tcW w:w="1115" w:type="pct"/>
            <w:tcBorders>
              <w:bottom w:val="single" w:sz="4" w:space="0" w:color="auto"/>
            </w:tcBorders>
            <w:tcMar>
              <w:top w:w="100" w:type="dxa"/>
              <w:left w:w="120" w:type="dxa"/>
              <w:bottom w:w="100" w:type="dxa"/>
              <w:right w:w="120" w:type="dxa"/>
            </w:tcMar>
          </w:tcPr>
          <w:p w14:paraId="42011A25" w14:textId="63A93114" w:rsidR="00C826F3" w:rsidRPr="00F53B57" w:rsidRDefault="00C826F3" w:rsidP="00C826F3">
            <w:pPr>
              <w:rPr>
                <w:sz w:val="20"/>
                <w:szCs w:val="20"/>
              </w:rPr>
            </w:pPr>
            <w:r w:rsidRPr="00F53B57">
              <w:rPr>
                <w:sz w:val="20"/>
                <w:szCs w:val="20"/>
              </w:rPr>
              <w:t>0%</w:t>
            </w:r>
          </w:p>
        </w:tc>
        <w:tc>
          <w:tcPr>
            <w:tcW w:w="714" w:type="pct"/>
            <w:tcBorders>
              <w:bottom w:val="single" w:sz="4" w:space="0" w:color="auto"/>
            </w:tcBorders>
            <w:tcMar>
              <w:top w:w="100" w:type="dxa"/>
              <w:left w:w="120" w:type="dxa"/>
              <w:bottom w:w="100" w:type="dxa"/>
              <w:right w:w="120" w:type="dxa"/>
            </w:tcMar>
          </w:tcPr>
          <w:p w14:paraId="3F54DF73" w14:textId="0E2DF2E8" w:rsidR="00C826F3" w:rsidRPr="00F53B57" w:rsidRDefault="00C826F3" w:rsidP="00C826F3">
            <w:pPr>
              <w:rPr>
                <w:sz w:val="20"/>
                <w:szCs w:val="20"/>
              </w:rPr>
            </w:pPr>
            <w:r w:rsidRPr="00F53B57">
              <w:rPr>
                <w:sz w:val="20"/>
                <w:szCs w:val="20"/>
              </w:rPr>
              <w:t>65%</w:t>
            </w:r>
          </w:p>
        </w:tc>
        <w:tc>
          <w:tcPr>
            <w:tcW w:w="714" w:type="pct"/>
            <w:tcBorders>
              <w:bottom w:val="single" w:sz="4" w:space="0" w:color="auto"/>
            </w:tcBorders>
            <w:tcMar>
              <w:top w:w="100" w:type="dxa"/>
              <w:left w:w="120" w:type="dxa"/>
              <w:bottom w:w="100" w:type="dxa"/>
              <w:right w:w="120" w:type="dxa"/>
            </w:tcMar>
          </w:tcPr>
          <w:p w14:paraId="360D08BC" w14:textId="6C4F2B50" w:rsidR="00C826F3" w:rsidRPr="00F53B57" w:rsidRDefault="00C826F3" w:rsidP="00C826F3">
            <w:pPr>
              <w:rPr>
                <w:sz w:val="20"/>
                <w:szCs w:val="20"/>
              </w:rPr>
            </w:pPr>
            <w:r w:rsidRPr="00F53B57">
              <w:rPr>
                <w:sz w:val="20"/>
                <w:szCs w:val="20"/>
              </w:rPr>
              <w:t>75%</w:t>
            </w:r>
          </w:p>
        </w:tc>
        <w:tc>
          <w:tcPr>
            <w:tcW w:w="714" w:type="pct"/>
            <w:tcBorders>
              <w:bottom w:val="single" w:sz="4" w:space="0" w:color="auto"/>
            </w:tcBorders>
            <w:tcMar>
              <w:top w:w="100" w:type="dxa"/>
              <w:left w:w="120" w:type="dxa"/>
              <w:bottom w:w="100" w:type="dxa"/>
              <w:right w:w="120" w:type="dxa"/>
            </w:tcMar>
          </w:tcPr>
          <w:p w14:paraId="2D14D27D" w14:textId="55D70CE0" w:rsidR="00C826F3" w:rsidRPr="00F53B57" w:rsidRDefault="00C826F3" w:rsidP="00C826F3">
            <w:pPr>
              <w:rPr>
                <w:sz w:val="20"/>
                <w:szCs w:val="20"/>
              </w:rPr>
            </w:pPr>
            <w:r w:rsidRPr="00F53B57">
              <w:rPr>
                <w:sz w:val="20"/>
                <w:szCs w:val="20"/>
              </w:rPr>
              <w:t>85%</w:t>
            </w:r>
          </w:p>
        </w:tc>
        <w:tc>
          <w:tcPr>
            <w:tcW w:w="713" w:type="pct"/>
            <w:tcBorders>
              <w:bottom w:val="single" w:sz="4" w:space="0" w:color="auto"/>
            </w:tcBorders>
            <w:tcMar>
              <w:top w:w="100" w:type="dxa"/>
              <w:left w:w="120" w:type="dxa"/>
              <w:bottom w:w="100" w:type="dxa"/>
              <w:right w:w="120" w:type="dxa"/>
            </w:tcMar>
          </w:tcPr>
          <w:p w14:paraId="12DBD61C" w14:textId="0EC0FC63" w:rsidR="00C826F3" w:rsidRPr="00F53B57" w:rsidRDefault="0056205E" w:rsidP="00C826F3">
            <w:pPr>
              <w:rPr>
                <w:sz w:val="20"/>
                <w:szCs w:val="20"/>
              </w:rPr>
            </w:pPr>
            <w:r w:rsidRPr="00F53B57">
              <w:rPr>
                <w:sz w:val="20"/>
                <w:szCs w:val="20"/>
              </w:rPr>
              <w:t>100%</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783089FE" w14:textId="0D4B0CD9"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Deployed Interface: Required Tabs and Latency Reporting</w:t>
            </w:r>
          </w:p>
        </w:tc>
        <w:tc>
          <w:tcPr>
            <w:tcW w:w="315" w:type="pct"/>
            <w:tcBorders>
              <w:top w:val="single" w:sz="4" w:space="0" w:color="auto"/>
              <w:left w:val="single" w:sz="4" w:space="0" w:color="auto"/>
              <w:bottom w:val="single" w:sz="4" w:space="0" w:color="auto"/>
              <w:right w:val="single" w:sz="4" w:space="0" w:color="auto"/>
            </w:tcBorders>
          </w:tcPr>
          <w:p w14:paraId="54251D42" w14:textId="A8B69C6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15%</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101E917" w14:textId="E54D0CD8"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interface is not deployed, or fewer than half of the required tabs are present.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6F98F09" w14:textId="E129035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Several required tabs are missing, or one or more model tabs fail to return a result.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62E6A8D6" w14:textId="3E8C447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All required tabs are present, but Compare does not render the archetypes together or the latency figures are not distinguished from one another.</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979F81E" w14:textId="91EA1036"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All required tabs work end to end against the deployed service, each carries its “When to use this archetype” sidebar, and server-side and end-to-end latency are reported as separate labeled figures.</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0BEF09C" w14:textId="061F020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All tabs work end to end, Latency History charts median latency per model over time, the two latency figures are labeled and the gap between them is explained, and the interface fails gracefully when the service is cold-starting rather than presenting a stale result as live.</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67CA7C8F" w14:textId="D72965A9"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Local Model Selection, Installation, and Hardware Disclosure</w:t>
            </w:r>
          </w:p>
        </w:tc>
        <w:tc>
          <w:tcPr>
            <w:tcW w:w="315" w:type="pct"/>
            <w:tcBorders>
              <w:top w:val="single" w:sz="4" w:space="0" w:color="auto"/>
              <w:left w:val="single" w:sz="4" w:space="0" w:color="auto"/>
              <w:bottom w:val="single" w:sz="4" w:space="0" w:color="auto"/>
              <w:right w:val="single" w:sz="4" w:space="0" w:color="auto"/>
            </w:tcBorders>
          </w:tcPr>
          <w:p w14:paraId="C35C20A4" w14:textId="F651C016"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10%</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DD7BAB7" w14:textId="3969209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No local model is installed or the hardware is undisclosed.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C34DB3E3" w14:textId="10FDF42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 local model is installed but the hardware line and model tag are missing from HONORS.md.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F732F97" w14:textId="DAA52354"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hardware line is present but incomplete, or the model runs on CPU when the machine could have accelerated it.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360BC87" w14:textId="4B922EBA"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 model sized to the machine’s memory budget is installed, acceleration is verified where the machine has a GPU and the CPU-only constraint is stated where it does not, and HONORS.md records the chip, RAM, GPU, quantization, and model tag.</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25B0964" w14:textId="734D766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Model selection is justified against the memory budget, the acceleration state is verified and evidenced either way, and the hardware disclosure is complete enough for a classmate on different silicon to compare numbers directly.</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5569BF00" w14:textId="47350EB0"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Fourth Lane: /local_generate and the Extended Schema</w:t>
            </w:r>
          </w:p>
        </w:tc>
        <w:tc>
          <w:tcPr>
            <w:tcW w:w="315" w:type="pct"/>
            <w:tcBorders>
              <w:top w:val="single" w:sz="4" w:space="0" w:color="auto"/>
              <w:left w:val="single" w:sz="4" w:space="0" w:color="auto"/>
              <w:bottom w:val="single" w:sz="4" w:space="0" w:color="auto"/>
              <w:right w:val="single" w:sz="4" w:space="0" w:color="auto"/>
            </w:tcBorders>
          </w:tcPr>
          <w:p w14:paraId="04A34EC5" w14:textId="0437190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12%</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78D6E55C" w14:textId="ED8751F6"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No local endpoint exists.</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CA3C03A" w14:textId="396EF3BD"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 local endpoint exists but does not run against the local model, or nothing is logged.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88E21B0" w14:textId="C3BE701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endpoint runs but the inferences table is not extended with hardware, or tokens per second are not recorded.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C402D963" w14:textId="2DA20A82"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POST /local_generate is backed by the local runtime, the inferences table carries a hardware column, and tokens per second are logged alongside latency_ms.</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4085420" w14:textId="F3031BF3"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local lane is implemented and logged with the same discipline as the hosted lanes, and the README explains why this tier cannot run on Render and treats that constraint as a finding rather than a defect.</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B06E577B" w14:textId="A8457415"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Compare Tab and Local vs. Cloud Chart</w:t>
            </w:r>
          </w:p>
        </w:tc>
        <w:tc>
          <w:tcPr>
            <w:tcW w:w="315" w:type="pct"/>
            <w:tcBorders>
              <w:top w:val="single" w:sz="4" w:space="0" w:color="auto"/>
              <w:left w:val="single" w:sz="4" w:space="0" w:color="auto"/>
              <w:bottom w:val="single" w:sz="4" w:space="0" w:color="auto"/>
              <w:right w:val="single" w:sz="4" w:space="0" w:color="auto"/>
            </w:tcBorders>
          </w:tcPr>
          <w:p w14:paraId="1215DB0C" w14:textId="A4887D23"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13%</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802A5CB" w14:textId="DEE6F56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local lane does not appear in the interface.</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3E73E601" w14:textId="6DD4E3EC"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 local column exists but does not return a result.</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E355AF5A" w14:textId="E3FE777D"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local column works but the Local vs. Cloud chart is missing or does not separate hardware tiers.</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838ACD9" w14:textId="D8CB2116"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Compare tab runs one prompt through all four lanes, and Latency History charts median latency and tokens per second by model and hardware tier.</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C971114E" w14:textId="DB202CB3"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All four lanes render together, the chart separates models and hardware tiers legibly, and the local tier is demonstrated running on the student’s own machine in the video.</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1084AB5F" w14:textId="266D03ED"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Controlled Sweep and the Quadratic Tie-Back</w:t>
            </w:r>
          </w:p>
        </w:tc>
        <w:tc>
          <w:tcPr>
            <w:tcW w:w="315" w:type="pct"/>
            <w:tcBorders>
              <w:top w:val="single" w:sz="4" w:space="0" w:color="auto"/>
              <w:left w:val="single" w:sz="4" w:space="0" w:color="auto"/>
              <w:bottom w:val="single" w:sz="4" w:space="0" w:color="auto"/>
              <w:right w:val="single" w:sz="4" w:space="0" w:color="auto"/>
            </w:tcBorders>
          </w:tcPr>
          <w:p w14:paraId="37222B04" w14:textId="79807C15"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20%</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B12AF45" w14:textId="D37FCC41"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No sweep is run.</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6FA437E" w14:textId="55DAD6C0"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 sweep is run at a single input length, or with too few prompts to be meaningful.</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CE76630E" w14:textId="05BBCF68"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full sweep is run but the results are presented without reference to sequence length.</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2D2AC1EF" w14:textId="38AC090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Twenty prompts are run at 64, 512, and 2048 tokens, and latency is plotted against sequence length for the local model and the three hosted ones.</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1895F101" w14:textId="2794F5E4"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sweep is complete and reproducible, the curves are read correctly, and the analysis ties the observed scaling to the O(n²) cost of self-attention derived in the Concepts tab — naming where the measurement departs from theory and why.</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FF749E23" w14:textId="3EC19335"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Cloud-vs-Edge Recommendation (400-500 words)</w:t>
            </w:r>
          </w:p>
        </w:tc>
        <w:tc>
          <w:tcPr>
            <w:tcW w:w="315" w:type="pct"/>
            <w:tcBorders>
              <w:top w:val="single" w:sz="4" w:space="0" w:color="auto"/>
              <w:left w:val="single" w:sz="4" w:space="0" w:color="auto"/>
              <w:bottom w:val="single" w:sz="4" w:space="0" w:color="auto"/>
              <w:right w:val="single" w:sz="4" w:space="0" w:color="auto"/>
            </w:tcBorders>
          </w:tcPr>
          <w:p w14:paraId="C9255F54" w14:textId="047827F9"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15%</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938B4BDC" w14:textId="5859232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recommendation is missing.</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5AEA6D2E" w14:textId="79F4A882"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A recommendation is asserted with no reference to the student’s own measurements.</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0962F4CB" w14:textId="53B8F8ED"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recommendation cites measurements but does not answer whether hosting is justified.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A5BCC71A" w14:textId="CD3BAC72"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recommendation answers what justifies a hosted model over a local one — latency, quality, context length, or nothing — and cites the student’s own numbers.</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B012DA2" w14:textId="E88D58F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recommendation is specific to the customer in the brief, decides the question on the evidence, states the conditions under which the answer would flip, and is honest where the data does not support the more flattering conclusion.</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7EA955AD" w14:textId="5F626375"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Cloud Deployment, Secrets, and Tier Boundary</w:t>
            </w:r>
          </w:p>
        </w:tc>
        <w:tc>
          <w:tcPr>
            <w:tcW w:w="315" w:type="pct"/>
            <w:tcBorders>
              <w:top w:val="single" w:sz="4" w:space="0" w:color="auto"/>
              <w:left w:val="single" w:sz="4" w:space="0" w:color="auto"/>
              <w:bottom w:val="single" w:sz="4" w:space="0" w:color="auto"/>
              <w:right w:val="single" w:sz="4" w:space="0" w:color="auto"/>
            </w:tcBorders>
          </w:tcPr>
          <w:p w14:paraId="64C5E4B2" w14:textId="46F9C1E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10%</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CF5FC700" w14:textId="B61FC36C"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application is not deployed.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A581514F" w14:textId="6B486D6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application is deployed but points at a local service, or a key is committed to the repository.</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E1A74D4" w14:textId="F5A89D82"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application is deployed but secrets handling or the tier boundary is undocumented.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A0C57068" w14:textId="8213B4E8"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application runs on Streamlit Community Cloud against the deployed service, with secrets in the secrets manager and the boundary documented.</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8BB7A5C9" w14:textId="EA29C4E3"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Deployment, secrets handling, and the tier boundary are correct and documented, and the README is explicit about which lane runs where and why.</w:t>
            </w:r>
          </w:p>
        </w:tc>
      </w:tr>
      <w:tr w:rsidR="00C826F3" w14:paraId="4ECC33EF" w14:textId="77777777" w:rsidTr="00C826F3">
        <w:tc>
          <w:tcPr>
            <w:tcW w:w="715" w:type="pct"/>
            <w:tcBorders>
              <w:top w:val="single" w:sz="4" w:space="0" w:color="auto"/>
              <w:left w:val="single" w:sz="4" w:space="0" w:color="auto"/>
              <w:bottom w:val="single" w:sz="4" w:space="0" w:color="auto"/>
              <w:right w:val="single" w:sz="4" w:space="0" w:color="auto"/>
            </w:tcBorders>
            <w:shd w:val="clear" w:color="auto" w:fill="FAFAFA"/>
            <w:tcMar>
              <w:top w:w="100" w:type="dxa"/>
              <w:left w:w="120" w:type="dxa"/>
              <w:bottom w:w="100" w:type="dxa"/>
              <w:right w:w="120" w:type="dxa"/>
            </w:tcMar>
          </w:tcPr>
          <w:p w14:paraId="018B686A" w14:textId="5CC24958" w:rsidR="00C826F3" w:rsidRPr="00F53B57" w:rsidRDefault="00C826F3" w:rsidP="00C826F3">
            <w:pPr>
              <w:rPr>
                <w:rFonts w:ascii="Times New Roman" w:eastAsiaTheme="minorHAnsi" w:hAnsi="Times New Roman" w:cstheme="minorBidi"/>
                <w:b/>
                <w:bCs/>
                <w:kern w:val="2"/>
                <w:sz w:val="20"/>
                <w:szCs w:val="20"/>
                <w14:ligatures w14:val="standardContextual"/>
              </w:rPr>
            </w:pPr>
            <w:r>
              <w:t xml:space="preserve">Reproducibility Artifacts</w:t>
            </w:r>
          </w:p>
        </w:tc>
        <w:tc>
          <w:tcPr>
            <w:tcW w:w="315" w:type="pct"/>
            <w:tcBorders>
              <w:top w:val="single" w:sz="4" w:space="0" w:color="auto"/>
              <w:left w:val="single" w:sz="4" w:space="0" w:color="auto"/>
              <w:bottom w:val="single" w:sz="4" w:space="0" w:color="auto"/>
              <w:right w:val="single" w:sz="4" w:space="0" w:color="auto"/>
            </w:tcBorders>
          </w:tcPr>
          <w:p w14:paraId="03BD9550" w14:textId="3A9CECB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5%</w:t>
            </w:r>
          </w:p>
        </w:tc>
        <w:tc>
          <w:tcPr>
            <w:tcW w:w="1115"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8DE10E5C" w14:textId="50656E07"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No raw data or prompts are provided.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630EA2B" w14:textId="60BC972B"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Some artifacts are present but the sweep data is not exported.</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BD195685" w14:textId="A3AAA55F"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sweep CSV is present but the hardware line, model tag, or quantization is missing.</w:t>
            </w:r>
          </w:p>
        </w:tc>
        <w:tc>
          <w:tcPr>
            <w:tcW w:w="714"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FEACAFB0" w14:textId="9119F69C"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repository contains the hardware line, model tag, quantization, and the raw sweep exported as CSV.</w:t>
            </w:r>
          </w:p>
        </w:tc>
        <w:tc>
          <w:tcPr>
            <w:tcW w:w="713" w:type="pct"/>
            <w:tcBorders>
              <w:top w:val="single" w:sz="4" w:space="0" w:color="auto"/>
              <w:left w:val="single" w:sz="4" w:space="0" w:color="auto"/>
              <w:bottom w:val="single" w:sz="4" w:space="0" w:color="auto"/>
              <w:right w:val="single" w:sz="4" w:space="0" w:color="auto"/>
            </w:tcBorders>
            <w:tcMar>
              <w:top w:w="100" w:type="dxa"/>
              <w:left w:w="120" w:type="dxa"/>
              <w:bottom w:w="100" w:type="dxa"/>
              <w:right w:w="120" w:type="dxa"/>
            </w:tcMar>
          </w:tcPr>
          <w:p w14:paraId="48C4CE77" w14:textId="A7AA1E9E" w:rsidR="00C826F3" w:rsidRPr="00F53B57" w:rsidRDefault="00C826F3" w:rsidP="00C826F3">
            <w:pPr>
              <w:spacing w:before="60"/>
              <w:rPr>
                <w:rFonts w:ascii="Times New Roman" w:eastAsiaTheme="minorHAnsi" w:hAnsi="Times New Roman" w:cstheme="minorBidi"/>
                <w:kern w:val="2"/>
                <w:sz w:val="20"/>
                <w:szCs w:val="20"/>
                <w14:ligatures w14:val="standardContextual"/>
              </w:rPr>
            </w:pPr>
            <w:r>
              <w:t xml:space="preserve">The artifacts are complete and organized so another student could rerun the sweep on different hardware and place the results on the same chart.</w:t>
            </w:r>
          </w:p>
        </w:tc>
      </w:tr>
    </w:tbl>
    <w:p w14:paraId="4ECC3444" w14:textId="77777777" w:rsidR="00BA4B87" w:rsidRPr="00902F50" w:rsidRDefault="00BA4B87" w:rsidP="00902F50">
      <w:pPr>
        <w:spacing w:before="60"/>
        <w:rPr>
          <w:rFonts w:ascii="Times New Roman" w:eastAsiaTheme="minorHAnsi" w:hAnsi="Times New Roman" w:cstheme="minorBidi"/>
          <w:kern w:val="2"/>
          <w:sz w:val="24"/>
          <w:szCs w:val="22"/>
          <w14:ligatures w14:val="standardContextual"/>
        </w:rPr>
      </w:pPr>
    </w:p>
    <w:sectPr w:rsidR="00BA4B87" w:rsidRPr="00902F50" w:rsidSect="0073285E">
      <w:headerReference w:type="default" r:id="rId10"/>
      <w:footerReference w:type="default" r:id="rId11"/>
      <w:pgSz w:w="15840" w:h="12240"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8AFBA" w14:textId="77777777" w:rsidR="00427BE8" w:rsidRDefault="00427BE8">
      <w:r>
        <w:separator/>
      </w:r>
    </w:p>
  </w:endnote>
  <w:endnote w:type="continuationSeparator" w:id="0">
    <w:p w14:paraId="70D7180F" w14:textId="77777777" w:rsidR="00427BE8" w:rsidRDefault="00427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C3444" w14:textId="77777777" w:rsidR="00BA52EB" w:rsidRDefault="00BA4B87">
    <w:pPr>
      <w:jc w:val="center"/>
    </w:pPr>
    <w:r>
      <w:rPr>
        <w:color w:val="888888"/>
        <w:sz w:val="16"/>
        <w:szCs w:val="16"/>
      </w:rPr>
      <w:t>© 2026. Grand Canyon University.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E938E" w14:textId="77777777" w:rsidR="00427BE8" w:rsidRDefault="00427BE8">
      <w:r>
        <w:separator/>
      </w:r>
    </w:p>
  </w:footnote>
  <w:footnote w:type="continuationSeparator" w:id="0">
    <w:p w14:paraId="02C8226A" w14:textId="77777777" w:rsidR="00427BE8" w:rsidRDefault="00427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EC37" w14:textId="472C621D" w:rsidR="00DF2489" w:rsidRPr="00DF2489" w:rsidRDefault="00DF2489" w:rsidP="00DF2489">
    <w:pPr>
      <w:pStyle w:val="Header"/>
    </w:pPr>
    <w:r w:rsidRPr="00C96FA7">
      <w:rPr>
        <w:noProof/>
      </w:rPr>
      <w:drawing>
        <wp:inline distT="0" distB="0" distL="0" distR="0" wp14:anchorId="5745E4F3" wp14:editId="0CBCC197">
          <wp:extent cx="2752725" cy="619125"/>
          <wp:effectExtent l="0" t="0" r="9525" b="9525"/>
          <wp:docPr id="61247038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70386" name="Picture 1" descr="A black text on a white background&#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2725" cy="619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598"/>
    <w:multiLevelType w:val="hybridMultilevel"/>
    <w:tmpl w:val="247CEB86"/>
    <w:lvl w:ilvl="0" w:tplc="08FC2DF2">
      <w:start w:val="1"/>
      <w:numFmt w:val="bullet"/>
      <w:lvlText w:val="●"/>
      <w:lvlJc w:val="left"/>
      <w:pPr>
        <w:ind w:left="720" w:hanging="360"/>
      </w:pPr>
    </w:lvl>
    <w:lvl w:ilvl="1" w:tplc="230AA5AE">
      <w:start w:val="1"/>
      <w:numFmt w:val="bullet"/>
      <w:lvlText w:val="○"/>
      <w:lvlJc w:val="left"/>
      <w:pPr>
        <w:ind w:left="1440" w:hanging="360"/>
      </w:pPr>
    </w:lvl>
    <w:lvl w:ilvl="2" w:tplc="B40A5A88">
      <w:start w:val="1"/>
      <w:numFmt w:val="bullet"/>
      <w:lvlText w:val="■"/>
      <w:lvlJc w:val="left"/>
      <w:pPr>
        <w:ind w:left="2160" w:hanging="360"/>
      </w:pPr>
    </w:lvl>
    <w:lvl w:ilvl="3" w:tplc="86A87752">
      <w:start w:val="1"/>
      <w:numFmt w:val="bullet"/>
      <w:lvlText w:val="●"/>
      <w:lvlJc w:val="left"/>
      <w:pPr>
        <w:ind w:left="2880" w:hanging="360"/>
      </w:pPr>
    </w:lvl>
    <w:lvl w:ilvl="4" w:tplc="0D421F1E">
      <w:start w:val="1"/>
      <w:numFmt w:val="bullet"/>
      <w:lvlText w:val="○"/>
      <w:lvlJc w:val="left"/>
      <w:pPr>
        <w:ind w:left="3600" w:hanging="360"/>
      </w:pPr>
    </w:lvl>
    <w:lvl w:ilvl="5" w:tplc="26B2D348">
      <w:start w:val="1"/>
      <w:numFmt w:val="bullet"/>
      <w:lvlText w:val="■"/>
      <w:lvlJc w:val="left"/>
      <w:pPr>
        <w:ind w:left="4320" w:hanging="360"/>
      </w:pPr>
    </w:lvl>
    <w:lvl w:ilvl="6" w:tplc="0258628A">
      <w:start w:val="1"/>
      <w:numFmt w:val="bullet"/>
      <w:lvlText w:val="●"/>
      <w:lvlJc w:val="left"/>
      <w:pPr>
        <w:ind w:left="5040" w:hanging="360"/>
      </w:pPr>
    </w:lvl>
    <w:lvl w:ilvl="7" w:tplc="D3A04472">
      <w:start w:val="1"/>
      <w:numFmt w:val="bullet"/>
      <w:lvlText w:val="●"/>
      <w:lvlJc w:val="left"/>
      <w:pPr>
        <w:ind w:left="5760" w:hanging="360"/>
      </w:pPr>
    </w:lvl>
    <w:lvl w:ilvl="8" w:tplc="5B58AA66">
      <w:start w:val="1"/>
      <w:numFmt w:val="bullet"/>
      <w:lvlText w:val="●"/>
      <w:lvlJc w:val="left"/>
      <w:pPr>
        <w:ind w:left="6480" w:hanging="360"/>
      </w:pPr>
    </w:lvl>
  </w:abstractNum>
  <w:num w:numId="1" w16cid:durableId="8323793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2EB"/>
    <w:rsid w:val="00035EAD"/>
    <w:rsid w:val="00080037"/>
    <w:rsid w:val="000B09BC"/>
    <w:rsid w:val="00161796"/>
    <w:rsid w:val="001F39F4"/>
    <w:rsid w:val="002B0C3A"/>
    <w:rsid w:val="003110D7"/>
    <w:rsid w:val="00427BE8"/>
    <w:rsid w:val="004B23E1"/>
    <w:rsid w:val="005048D3"/>
    <w:rsid w:val="0056205E"/>
    <w:rsid w:val="005C5300"/>
    <w:rsid w:val="0068113E"/>
    <w:rsid w:val="006A37F8"/>
    <w:rsid w:val="0073285E"/>
    <w:rsid w:val="00795E44"/>
    <w:rsid w:val="00830FDF"/>
    <w:rsid w:val="00843E88"/>
    <w:rsid w:val="00862FD1"/>
    <w:rsid w:val="00902F50"/>
    <w:rsid w:val="00985AD7"/>
    <w:rsid w:val="00AF393C"/>
    <w:rsid w:val="00B32F84"/>
    <w:rsid w:val="00BA4B87"/>
    <w:rsid w:val="00BA52EB"/>
    <w:rsid w:val="00C02726"/>
    <w:rsid w:val="00C826F3"/>
    <w:rsid w:val="00D24274"/>
    <w:rsid w:val="00DF2489"/>
    <w:rsid w:val="00EA088E"/>
    <w:rsid w:val="00EB39B6"/>
    <w:rsid w:val="00F53B57"/>
    <w:rsid w:val="00F70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CC33DC"/>
  <w15:docId w15:val="{E5FC2B1D-F72C-45C3-836F-54AECA305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2489"/>
    <w:pPr>
      <w:tabs>
        <w:tab w:val="center" w:pos="4680"/>
        <w:tab w:val="right" w:pos="9360"/>
      </w:tabs>
    </w:pPr>
  </w:style>
  <w:style w:type="character" w:customStyle="1" w:styleId="HeaderChar">
    <w:name w:val="Header Char"/>
    <w:basedOn w:val="DefaultParagraphFont"/>
    <w:link w:val="Header"/>
    <w:uiPriority w:val="99"/>
    <w:rsid w:val="00DF2489"/>
  </w:style>
  <w:style w:type="paragraph" w:styleId="Footer">
    <w:name w:val="footer"/>
    <w:basedOn w:val="Normal"/>
    <w:link w:val="FooterChar"/>
    <w:uiPriority w:val="99"/>
    <w:unhideWhenUsed/>
    <w:rsid w:val="00DF2489"/>
    <w:pPr>
      <w:tabs>
        <w:tab w:val="center" w:pos="4680"/>
        <w:tab w:val="right" w:pos="9360"/>
      </w:tabs>
    </w:pPr>
  </w:style>
  <w:style w:type="character" w:customStyle="1" w:styleId="FooterChar">
    <w:name w:val="Footer Char"/>
    <w:basedOn w:val="DefaultParagraphFont"/>
    <w:link w:val="Footer"/>
    <w:uiPriority w:val="99"/>
    <w:rsid w:val="00DF2489"/>
  </w:style>
  <w:style w:type="paragraph" w:styleId="Revision">
    <w:name w:val="Revision"/>
    <w:hidden/>
    <w:uiPriority w:val="99"/>
    <w:semiHidden/>
    <w:rsid w:val="00985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A2D19B44CEB84096BF732DE0C55A0F" ma:contentTypeVersion="2381" ma:contentTypeDescription="Create a new document." ma:contentTypeScope="" ma:versionID="60d70802ba3b2fd5fc57ef360dbea8e6">
  <xsd:schema xmlns:xsd="http://www.w3.org/2001/XMLSchema" xmlns:xs="http://www.w3.org/2001/XMLSchema" xmlns:p="http://schemas.microsoft.com/office/2006/metadata/properties" xmlns:ns1="http://schemas.microsoft.com/sharepoint/v3" xmlns:ns2="b3b59848-949a-4ed4-8036-feb011ce2b52" xmlns:ns3="37d47695-dda2-48a2-87bc-2a1f7ac7fedc" targetNamespace="http://schemas.microsoft.com/office/2006/metadata/properties" ma:root="true" ma:fieldsID="11b016fb20446eff80a72bef3d65e9bc" ns1:_="" ns2:_="" ns3:_="">
    <xsd:import namespace="http://schemas.microsoft.com/sharepoint/v3"/>
    <xsd:import namespace="b3b59848-949a-4ed4-8036-feb011ce2b52"/>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_Flow_SignoffStatu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b59848-949a-4ed4-8036-feb011ce2b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_Flow_SignoffStatus" ma:index="26" nillable="true" ma:displayName="Sign-off status" ma:internalName="Sign_x002d_off_x0020_status">
      <xsd:simpleType>
        <xsd:restriction base="dms:Text"/>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b3b59848-949a-4ed4-8036-feb011ce2b52">
      <Terms xmlns="http://schemas.microsoft.com/office/infopath/2007/PartnerControls"/>
    </lcf76f155ced4ddcb4097134ff3c332f>
    <_Flow_SignoffStatus xmlns="b3b59848-949a-4ed4-8036-feb011ce2b52" xsi:nil="true"/>
    <TaxCatchAll xmlns="37d47695-dda2-48a2-87bc-2a1f7ac7fed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D4FB23-1B3F-4B2C-B1BA-64EA0AE11A99}"/>
</file>

<file path=customXml/itemProps2.xml><?xml version="1.0" encoding="utf-8"?>
<ds:datastoreItem xmlns:ds="http://schemas.openxmlformats.org/officeDocument/2006/customXml" ds:itemID="{FD932443-C9A5-4725-83B7-BB51E5F71C55}">
  <ds:schemaRefs>
    <ds:schemaRef ds:uri="http://schemas.microsoft.com/office/2006/metadata/properties"/>
    <ds:schemaRef ds:uri="http://schemas.microsoft.com/office/infopath/2007/PartnerControls"/>
    <ds:schemaRef ds:uri="http://schemas.microsoft.com/sharepoint/v3"/>
    <ds:schemaRef ds:uri="b3b59848-949a-4ed4-8036-feb011ce2b52"/>
    <ds:schemaRef ds:uri="37d47695-dda2-48a2-87bc-2a1f7ac7fedc"/>
  </ds:schemaRefs>
</ds:datastoreItem>
</file>

<file path=customXml/itemProps3.xml><?xml version="1.0" encoding="utf-8"?>
<ds:datastoreItem xmlns:ds="http://schemas.openxmlformats.org/officeDocument/2006/customXml" ds:itemID="{2120A898-C924-4919-9589-5D4D5D0A566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939</Words>
  <Characters>5353</Characters>
  <Application>Microsoft Office Word</Application>
  <DocSecurity>0</DocSecurity>
  <Lines>44</Lines>
  <Paragraphs>12</Paragraphs>
  <ScaleCrop>false</ScaleCrop>
  <Company>Grand Canyon Education</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Fine-Tuning an LLM and FastAPI Deployment — Rubric</dc:title>
  <dc:creator>Grand Canyon University — College of Engineering and Technology</dc:creator>
  <cp:lastModifiedBy>Rebecca Shapiro (GCE)</cp:lastModifiedBy>
  <cp:revision>25</cp:revision>
  <dcterms:created xsi:type="dcterms:W3CDTF">2026-05-27T05:35:00Z</dcterms:created>
  <dcterms:modified xsi:type="dcterms:W3CDTF">2026-07-30T17:44:00Z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0x01010022A2D19B44CEB84096BF732DE0C55A0F</vt:lpwstr>
  </property>
  <property fmtid="{D5CDD505-2E9C-101B-9397-08002B2CF9AE}" pid="3" name="MediaServiceImageTags">
    <vt:lpwstr/>
  </property>
</Properties>
</file>