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1E95" w14:textId="77777777" w:rsidR="004B23E1" w:rsidRDefault="004B23E1">
      <w:pPr>
        <w:tabs>
          <w:tab w:val="right" w:pos="10800"/>
        </w:tabs>
        <w:spacing w:after="240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</w:p>
    <w:p w14:paraId="46C9257A" w14:textId="325D10F2" w:rsidR="0068113E" w:rsidRPr="00795E44" w:rsidRDefault="0068113E" w:rsidP="00795E44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  <w:r>
        <w:rPr>
          <w:b/>
        </w:rPr>
        <w:t xml:space="preserve">AIT-204 Topic 6 Rubric: Product 6B: “FleetDeck”: Deploying the Fine-Tuning Experiment Dashboard to the Cloud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907"/>
        <w:gridCol w:w="3209"/>
        <w:gridCol w:w="2055"/>
        <w:gridCol w:w="2055"/>
        <w:gridCol w:w="2055"/>
        <w:gridCol w:w="2052"/>
      </w:tblGrid>
      <w:tr w:rsidR="00C826F3" w14:paraId="4ECC33E3" w14:textId="77777777" w:rsidTr="00C826F3">
        <w:tc>
          <w:tcPr>
            <w:tcW w:w="7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DD" w14:textId="3787E87D" w:rsidR="00C826F3" w:rsidRPr="00F53B57" w:rsidRDefault="00C826F3" w:rsidP="00C826F3">
            <w:pPr>
              <w:rPr>
                <w:b/>
                <w:bCs/>
                <w:sz w:val="20"/>
                <w:szCs w:val="20"/>
              </w:rPr>
            </w:pPr>
            <w:r w:rsidRPr="00F53B57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315" w:type="pct"/>
          </w:tcPr>
          <w:p w14:paraId="25987EAE" w14:textId="45CF8E89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% Value</w:t>
            </w:r>
          </w:p>
        </w:tc>
        <w:tc>
          <w:tcPr>
            <w:tcW w:w="1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DE" w14:textId="67B9288C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Unsatisfactory</w:t>
            </w:r>
          </w:p>
        </w:tc>
        <w:tc>
          <w:tcPr>
            <w:tcW w:w="714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DF" w14:textId="4E78E3BE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Insufficient</w:t>
            </w:r>
          </w:p>
        </w:tc>
        <w:tc>
          <w:tcPr>
            <w:tcW w:w="714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E0" w14:textId="1ECFD19F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Approaching</w:t>
            </w:r>
          </w:p>
        </w:tc>
        <w:tc>
          <w:tcPr>
            <w:tcW w:w="714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E1" w14:textId="2FC45185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Acceptable</w:t>
            </w:r>
          </w:p>
        </w:tc>
        <w:tc>
          <w:tcPr>
            <w:tcW w:w="713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33E2" w14:textId="01896321" w:rsidR="00C826F3" w:rsidRPr="00F53B57" w:rsidRDefault="0056205E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Target</w:t>
            </w:r>
          </w:p>
        </w:tc>
      </w:tr>
      <w:tr w:rsidR="00C826F3" w14:paraId="16B1BBB4" w14:textId="77777777" w:rsidTr="00C826F3">
        <w:tc>
          <w:tcPr>
            <w:tcW w:w="715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A0C27" w14:textId="3000610A" w:rsidR="00C826F3" w:rsidRPr="00F53B57" w:rsidRDefault="00C826F3" w:rsidP="00C826F3">
            <w:pPr>
              <w:rPr>
                <w:b/>
                <w:bCs/>
                <w:sz w:val="20"/>
                <w:szCs w:val="20"/>
              </w:rPr>
            </w:pPr>
            <w:r w:rsidRPr="00F53B57">
              <w:rPr>
                <w:b/>
                <w:bCs/>
                <w:sz w:val="20"/>
                <w:szCs w:val="20"/>
              </w:rPr>
              <w:t>% Scaling</w:t>
            </w:r>
          </w:p>
        </w:tc>
        <w:tc>
          <w:tcPr>
            <w:tcW w:w="315" w:type="pct"/>
            <w:tcBorders>
              <w:bottom w:val="single" w:sz="4" w:space="0" w:color="auto"/>
            </w:tcBorders>
          </w:tcPr>
          <w:p w14:paraId="6A4190FD" w14:textId="77777777" w:rsidR="00C826F3" w:rsidRPr="00F53B57" w:rsidRDefault="00C826F3" w:rsidP="00C826F3">
            <w:pPr>
              <w:rPr>
                <w:sz w:val="20"/>
                <w:szCs w:val="20"/>
              </w:rPr>
            </w:pPr>
          </w:p>
        </w:tc>
        <w:tc>
          <w:tcPr>
            <w:tcW w:w="1115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11A25" w14:textId="63A93114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0%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4DF73" w14:textId="0E2DF2E8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65%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D08BC" w14:textId="6C4F2B50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75%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4D27D" w14:textId="55D70CE0" w:rsidR="00C826F3" w:rsidRPr="00F53B57" w:rsidRDefault="00C826F3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85%</w:t>
            </w:r>
          </w:p>
        </w:tc>
        <w:tc>
          <w:tcPr>
            <w:tcW w:w="713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BD61C" w14:textId="0EC0FC63" w:rsidR="00C826F3" w:rsidRPr="00F53B57" w:rsidRDefault="0056205E" w:rsidP="00C826F3">
            <w:pPr>
              <w:rPr>
                <w:sz w:val="20"/>
                <w:szCs w:val="20"/>
              </w:rPr>
            </w:pPr>
            <w:r w:rsidRPr="00F53B57">
              <w:rPr>
                <w:sz w:val="20"/>
                <w:szCs w:val="20"/>
              </w:rPr>
              <w:t>100%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174A27F" w14:textId="371764B8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Concepts and Model Card Tabs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04D515" w14:textId="2FB5507C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15%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B2090" w14:textId="EDF32559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comparison is missing from the deployed interface.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CE670" w14:textId="65E01F09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 comparison is present but contains errors, and the downstream-task implications are absent.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8F6F2FB8" w14:textId="EF26EB50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comparison is present but the link between objective and downstream strengths lacks clarity.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B81D074" w14:textId="B99A7B38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Concepts tab renders a correct LaTeX comparison of MLM, CLM, span-corruption, and contrastive pre-training with the tasks each favors, and the Model Card tab renders the deployed model’s card.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E9216" w14:textId="898C0C5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comparison is rigorous, includes a task-suitability matrix, states honestly when zero-shot prompting of a large model would beat the fine-tuned small one, and the Model Card tab reports intended use, training data, limitations, and foreseeable misuse.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931A3" w14:textId="D313D87B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Try It Tab: Fine-Tuned vs. Zero-Shot, Side by Side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D31E" w14:textId="0C80B45E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20%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F3C8F5C8" w14:textId="73812B0D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tab is missing, or no prediction is returned.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E8D99CA" w14:textId="E03D8D7E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Only one of the two outputs is returned.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993D8" w14:textId="424DFB9B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Both outputs are returned but are not rendered side by side, or calls are not logged server-side.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88F9EDDD" w14:textId="4C010021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tab accepts customer input, renders the fine-tuned and zero-shot outputs side by side, and every call is logged to predictions server-side.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F3D2F1AB" w14:textId="89652442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tab renders both outputs with the latency of each, makes the comparison legible to a non-technical user, and the logging is verifiable in the data layer for every call made from the interface.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6FF1B" w14:textId="5ABB2218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Experiment Leaderboard and Uncertainty Display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8D9CADC" w14:textId="53F49F60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20%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7B574" w14:textId="12CF3C46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No leaderboard is present.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000AE" w14:textId="ECE9394D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 leaderboard is present but is hard-coded rather than read from the experiment store.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EB6FAC7E" w14:textId="A342891A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leaderboard reads live data but omits the confidence interval, presenting point estimates as though they were exact.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592F" w14:textId="4B76447B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leaderboard reads the experiments table with a read-only key, sorts by headline metric, and shows the 95% bootstrap confidence interval beside every metric.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C4B54" w14:textId="8C6CB5B5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leaderboard is live, sortable, and shows the interval next to every metric, and the presentation makes it obvious when two configurations are not meaningfully different.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1A266" w14:textId="EB49D80A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Cost &amp; Latency Tab and Stated Assumptions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256FD0" w14:textId="6429FB19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E8538731" w14:textId="ECA03E9E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No cost or latency analysis is present.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E360C0B" w14:textId="E0708F5A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Latency is shown but no cost comparison is attempted.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CC73CA8" w14:textId="8F7FA3CC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A cost estimate is shown but the assumptions behind it are not stated.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9EB15B1" w14:textId="9AF31ED5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tab posts a fixed batch, reports server-side latency, and compares it against an estimated frontier-LLM cost with the assumptions stated on the same screen.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8B614" w14:textId="CF9B7E2B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tab reports latency and cost from live data, states its assumptions where the reader sees the number, and frames the trade-off in terms the customer in the brief would actually use.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869F7" w14:textId="58489532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Cloud Deployment, Secrets, and Tier Boundary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8A72" w14:textId="8CD2ECFA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15%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2F7C1B4" w14:textId="5E10008E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is not deployed, or runs only locally.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0099F32" w14:textId="DDDD3946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is deployed but points at a local service, or a key is committed to the repository.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A20564C5" w14:textId="9B4F4C7D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is deployed against the deployed service, but secrets handling or the tier boundary is undocumented.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8DA89F1" w14:textId="8C7C34B6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runs on Streamlit Community Cloud against the deployed service. Secrets are read from the Streamlit secrets manager, the service-role key is absent from this tier, and the README documents the boundary.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0BA1489" w14:textId="B037E995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application runs on Streamlit Community Cloud with no secret in source control, only an anon key in the interface tier, and a README statement — supported by the code — that no model weights load and no SQL is written in this tier.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B484825" w14:textId="267C6E4F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Error Handling and Graceful Degradation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9CFDB4" w14:textId="85C827D4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EF019448" w14:textId="6E895288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dashboard crashes or hangs when the service is unavailable.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E9F09FC5" w14:textId="57F50102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Errors are surfaced only as an unhandled traceback.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9BEB427" w14:textId="CCE5AFAD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Errors are caught but the message gives the user nothing to act on.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75250D4" w14:textId="55B6720F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dashboard catches service errors, states plainly what failed, and remains usable.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0FEEC" w14:textId="529AB841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dashboard distinguishes a cold start from an outage, tells the user what to do next, never presents a stale or fabricated prediction as live, and recovers without a reload once the service responds.</w:t>
            </w:r>
          </w:p>
        </w:tc>
      </w:tr>
      <w:tr w:rsidR="00C826F3" w14:paraId="4ECC33EF" w14:textId="77777777" w:rsidTr="00C826F3"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868CA71" w14:textId="A6AB9F2C" w:rsidR="00C826F3" w:rsidRPr="00F53B57" w:rsidRDefault="00C826F3" w:rsidP="00C826F3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t xml:space="preserve">Deployment Reflection (Customer Answer, Presentation, Worldview)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568B" w14:textId="A888D673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10%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CC503222" w14:textId="C8881444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is missing.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98392881" w14:textId="52EDBBC4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asserts an answer with no numbers behind it.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B62C87A1" w14:textId="65C54A15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cites numbers but does not defend the presentation choices or address the worldview question.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DA04028E" w14:textId="CF5BC041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reflection answers “cheaper, faster, good enough?” in one sentence with supporting figures, defends one presentation decision, and includes a Christian-worldview reflection on honest reporting.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81C362CB" w14:textId="F7D6F7C7" w:rsidR="00C826F3" w:rsidRPr="00F53B57" w:rsidRDefault="00C826F3" w:rsidP="00C826F3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>
              <w:t xml:space="preserve">The answer is decisive and evidenced, the presentation decision is defended against the alternative, and the worldview reflection names a specific number the student was tempted to omit and explains why it stayed — grounded in Scripture rather than asserted.</w:t>
            </w:r>
          </w:p>
        </w:tc>
      </w:tr>
    </w:tbl>
    <w:p w14:paraId="4ECC3444" w14:textId="77777777" w:rsidR="00BA4B87" w:rsidRPr="00902F50" w:rsidRDefault="00BA4B87" w:rsidP="00902F50">
      <w:pPr>
        <w:spacing w:before="60"/>
        <w:rPr>
          <w:rFonts w:ascii="Times New Roman" w:eastAsiaTheme="minorHAnsi" w:hAnsi="Times New Roman" w:cstheme="minorBidi"/>
          <w:kern w:val="2"/>
          <w:sz w:val="24"/>
          <w:szCs w:val="22"/>
          <w14:ligatures w14:val="standardContextual"/>
        </w:rPr>
      </w:pPr>
    </w:p>
    <w:sectPr w:rsidR="00BA4B87" w:rsidRPr="00902F50" w:rsidSect="0073285E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AFBA" w14:textId="77777777" w:rsidR="00427BE8" w:rsidRDefault="00427BE8">
      <w:r>
        <w:separator/>
      </w:r>
    </w:p>
  </w:endnote>
  <w:endnote w:type="continuationSeparator" w:id="0">
    <w:p w14:paraId="70D7180F" w14:textId="77777777" w:rsidR="00427BE8" w:rsidRDefault="00427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3444" w14:textId="77777777" w:rsidR="00BA52EB" w:rsidRDefault="00BA4B87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938E" w14:textId="77777777" w:rsidR="00427BE8" w:rsidRDefault="00427BE8">
      <w:r>
        <w:separator/>
      </w:r>
    </w:p>
  </w:footnote>
  <w:footnote w:type="continuationSeparator" w:id="0">
    <w:p w14:paraId="02C8226A" w14:textId="77777777" w:rsidR="00427BE8" w:rsidRDefault="00427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EC37" w14:textId="472C621D" w:rsidR="00DF2489" w:rsidRPr="00DF2489" w:rsidRDefault="00DF2489" w:rsidP="00DF2489">
    <w:pPr>
      <w:pStyle w:val="Header"/>
    </w:pPr>
    <w:r w:rsidRPr="00C96FA7">
      <w:rPr>
        <w:noProof/>
      </w:rPr>
      <w:drawing>
        <wp:inline distT="0" distB="0" distL="0" distR="0" wp14:anchorId="5745E4F3" wp14:editId="0CBCC197">
          <wp:extent cx="2752725" cy="619125"/>
          <wp:effectExtent l="0" t="0" r="9525" b="9525"/>
          <wp:docPr id="61247038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470386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598"/>
    <w:multiLevelType w:val="hybridMultilevel"/>
    <w:tmpl w:val="247CEB86"/>
    <w:lvl w:ilvl="0" w:tplc="08FC2DF2">
      <w:start w:val="1"/>
      <w:numFmt w:val="bullet"/>
      <w:lvlText w:val="●"/>
      <w:lvlJc w:val="left"/>
      <w:pPr>
        <w:ind w:left="720" w:hanging="360"/>
      </w:pPr>
    </w:lvl>
    <w:lvl w:ilvl="1" w:tplc="230AA5AE">
      <w:start w:val="1"/>
      <w:numFmt w:val="bullet"/>
      <w:lvlText w:val="○"/>
      <w:lvlJc w:val="left"/>
      <w:pPr>
        <w:ind w:left="1440" w:hanging="360"/>
      </w:pPr>
    </w:lvl>
    <w:lvl w:ilvl="2" w:tplc="B40A5A88">
      <w:start w:val="1"/>
      <w:numFmt w:val="bullet"/>
      <w:lvlText w:val="■"/>
      <w:lvlJc w:val="left"/>
      <w:pPr>
        <w:ind w:left="2160" w:hanging="360"/>
      </w:pPr>
    </w:lvl>
    <w:lvl w:ilvl="3" w:tplc="86A87752">
      <w:start w:val="1"/>
      <w:numFmt w:val="bullet"/>
      <w:lvlText w:val="●"/>
      <w:lvlJc w:val="left"/>
      <w:pPr>
        <w:ind w:left="2880" w:hanging="360"/>
      </w:pPr>
    </w:lvl>
    <w:lvl w:ilvl="4" w:tplc="0D421F1E">
      <w:start w:val="1"/>
      <w:numFmt w:val="bullet"/>
      <w:lvlText w:val="○"/>
      <w:lvlJc w:val="left"/>
      <w:pPr>
        <w:ind w:left="3600" w:hanging="360"/>
      </w:pPr>
    </w:lvl>
    <w:lvl w:ilvl="5" w:tplc="26B2D348">
      <w:start w:val="1"/>
      <w:numFmt w:val="bullet"/>
      <w:lvlText w:val="■"/>
      <w:lvlJc w:val="left"/>
      <w:pPr>
        <w:ind w:left="4320" w:hanging="360"/>
      </w:pPr>
    </w:lvl>
    <w:lvl w:ilvl="6" w:tplc="0258628A">
      <w:start w:val="1"/>
      <w:numFmt w:val="bullet"/>
      <w:lvlText w:val="●"/>
      <w:lvlJc w:val="left"/>
      <w:pPr>
        <w:ind w:left="5040" w:hanging="360"/>
      </w:pPr>
    </w:lvl>
    <w:lvl w:ilvl="7" w:tplc="D3A04472">
      <w:start w:val="1"/>
      <w:numFmt w:val="bullet"/>
      <w:lvlText w:val="●"/>
      <w:lvlJc w:val="left"/>
      <w:pPr>
        <w:ind w:left="5760" w:hanging="360"/>
      </w:pPr>
    </w:lvl>
    <w:lvl w:ilvl="8" w:tplc="5B58AA66">
      <w:start w:val="1"/>
      <w:numFmt w:val="bullet"/>
      <w:lvlText w:val="●"/>
      <w:lvlJc w:val="left"/>
      <w:pPr>
        <w:ind w:left="6480" w:hanging="360"/>
      </w:pPr>
    </w:lvl>
  </w:abstractNum>
  <w:num w:numId="1" w16cid:durableId="832379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EB"/>
    <w:rsid w:val="00035EAD"/>
    <w:rsid w:val="00080037"/>
    <w:rsid w:val="000B09BC"/>
    <w:rsid w:val="00161796"/>
    <w:rsid w:val="001F39F4"/>
    <w:rsid w:val="002B0C3A"/>
    <w:rsid w:val="003110D7"/>
    <w:rsid w:val="00427BE8"/>
    <w:rsid w:val="004B23E1"/>
    <w:rsid w:val="005048D3"/>
    <w:rsid w:val="0056205E"/>
    <w:rsid w:val="005C5300"/>
    <w:rsid w:val="0068113E"/>
    <w:rsid w:val="006A37F8"/>
    <w:rsid w:val="0073285E"/>
    <w:rsid w:val="00795E44"/>
    <w:rsid w:val="00830FDF"/>
    <w:rsid w:val="00843E88"/>
    <w:rsid w:val="00862FD1"/>
    <w:rsid w:val="00902F50"/>
    <w:rsid w:val="00985AD7"/>
    <w:rsid w:val="00AF393C"/>
    <w:rsid w:val="00B32F84"/>
    <w:rsid w:val="00BA4B87"/>
    <w:rsid w:val="00BA52EB"/>
    <w:rsid w:val="00C02726"/>
    <w:rsid w:val="00C826F3"/>
    <w:rsid w:val="00D24274"/>
    <w:rsid w:val="00DF2489"/>
    <w:rsid w:val="00EA088E"/>
    <w:rsid w:val="00EB39B6"/>
    <w:rsid w:val="00F53B57"/>
    <w:rsid w:val="00F7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33DC"/>
  <w15:docId w15:val="{E5FC2B1D-F72C-45C3-836F-54AECA30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24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489"/>
  </w:style>
  <w:style w:type="paragraph" w:styleId="Footer">
    <w:name w:val="footer"/>
    <w:basedOn w:val="Normal"/>
    <w:link w:val="FooterChar"/>
    <w:uiPriority w:val="99"/>
    <w:unhideWhenUsed/>
    <w:rsid w:val="00DF24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489"/>
  </w:style>
  <w:style w:type="paragraph" w:styleId="Revision">
    <w:name w:val="Revision"/>
    <w:hidden/>
    <w:uiPriority w:val="99"/>
    <w:semiHidden/>
    <w:rsid w:val="00985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D4FB23-1B3F-4B2C-B1BA-64EA0AE11A99}"/>
</file>

<file path=customXml/itemProps2.xml><?xml version="1.0" encoding="utf-8"?>
<ds:datastoreItem xmlns:ds="http://schemas.openxmlformats.org/officeDocument/2006/customXml" ds:itemID="{FD932443-C9A5-4725-83B7-BB51E5F71C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customXml/itemProps3.xml><?xml version="1.0" encoding="utf-8"?>
<ds:datastoreItem xmlns:ds="http://schemas.openxmlformats.org/officeDocument/2006/customXml" ds:itemID="{2120A898-C924-4919-9589-5D4D5D0A56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939</Words>
  <Characters>5353</Characters>
  <Application>Microsoft Office Word</Application>
  <DocSecurity>0</DocSecurity>
  <Lines>44</Lines>
  <Paragraphs>12</Paragraphs>
  <ScaleCrop>false</ScaleCrop>
  <Company>Grand Canyon Education</Company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Fine-Tuning an LLM and FastAPI Deployment — Rubric</dc:title>
  <dc:creator>Grand Canyon University — College of Engineering and Technology</dc:creator>
  <cp:lastModifiedBy>Rebecca Shapiro (GCE)</cp:lastModifiedBy>
  <cp:revision>25</cp:revision>
  <dcterms:created xsi:type="dcterms:W3CDTF">2026-05-27T05:35:00Z</dcterms:created>
  <dcterms:modified xsi:type="dcterms:W3CDTF">2026-07-30T17:44:00Z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