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5D1F" w14:textId="5753B562" w:rsidR="00780839" w:rsidRDefault="008C1D4B" w:rsidP="008C1D4B">
      <w:pPr>
        <w:jc w:val="center"/>
        <w:rPr>
          <w:rFonts w:ascii="Times New Roman" w:hAnsi="Times New Roman" w:cs="Times New Roman"/>
          <w:b/>
          <w:sz w:val="24"/>
          <w:szCs w:val="24"/>
        </w:rPr>
      </w:pPr>
      <w:r>
        <w:rPr>
          <w:rFonts w:ascii="Times New Roman" w:hAnsi="Times New Roman" w:cs="Times New Roman"/>
          <w:b/>
          <w:sz w:val="24"/>
          <w:szCs w:val="24"/>
        </w:rPr>
        <w:t xml:space="preserve">CLC – </w:t>
      </w:r>
      <w:r w:rsidR="00937E25">
        <w:rPr>
          <w:rFonts w:ascii="Times New Roman" w:hAnsi="Times New Roman" w:cs="Times New Roman"/>
          <w:b/>
          <w:sz w:val="24"/>
          <w:szCs w:val="24"/>
        </w:rPr>
        <w:t>Industry</w:t>
      </w:r>
      <w:r>
        <w:rPr>
          <w:rFonts w:ascii="Times New Roman" w:hAnsi="Times New Roman" w:cs="Times New Roman"/>
          <w:b/>
          <w:sz w:val="24"/>
          <w:szCs w:val="24"/>
        </w:rPr>
        <w:t xml:space="preserve"> Standards</w:t>
      </w:r>
    </w:p>
    <w:p w14:paraId="50CA2572" w14:textId="77777777" w:rsidR="008C1D4B" w:rsidRDefault="008C1D4B" w:rsidP="008C1D4B">
      <w:pPr>
        <w:jc w:val="center"/>
        <w:rPr>
          <w:rFonts w:ascii="Times New Roman" w:hAnsi="Times New Roman" w:cs="Times New Roman"/>
          <w:b/>
          <w:sz w:val="24"/>
          <w:szCs w:val="24"/>
        </w:rPr>
      </w:pPr>
      <w:r>
        <w:rPr>
          <w:rFonts w:ascii="Times New Roman" w:hAnsi="Times New Roman" w:cs="Times New Roman"/>
          <w:b/>
          <w:sz w:val="24"/>
          <w:szCs w:val="24"/>
        </w:rPr>
        <w:t>Production Release Engineering for a Cross Platform Mobile Application</w:t>
      </w:r>
    </w:p>
    <w:tbl>
      <w:tblPr>
        <w:tblStyle w:val="TableGrid"/>
        <w:tblW w:w="0" w:type="auto"/>
        <w:tblLook w:val="04A0" w:firstRow="1" w:lastRow="0" w:firstColumn="1" w:lastColumn="0" w:noHBand="0" w:noVBand="1"/>
      </w:tblPr>
      <w:tblGrid>
        <w:gridCol w:w="2300"/>
        <w:gridCol w:w="3300"/>
        <w:gridCol w:w="3760"/>
      </w:tblGrid>
      <w:tr w:rsidR="008C1D4B" w:rsidRPr="008C1D4B" w14:paraId="4809148F" w14:textId="77777777" w:rsidTr="008C1D4B">
        <w:tc>
          <w:tcPr>
            <w:tcW w:w="2300" w:type="dxa"/>
            <w:vAlign w:val="center"/>
          </w:tcPr>
          <w:p w14:paraId="760B6AED" w14:textId="4A2014CD" w:rsidR="008C1D4B" w:rsidRPr="008C1D4B" w:rsidRDefault="00937E25" w:rsidP="008C1D4B">
            <w:pPr>
              <w:spacing w:after="60" w:line="240" w:lineRule="auto"/>
              <w:jc w:val="center"/>
              <w:rPr>
                <w:rFonts w:ascii="Times New Roman" w:hAnsi="Times New Roman" w:cs="Times New Roman"/>
                <w:b/>
                <w:sz w:val="24"/>
                <w:szCs w:val="24"/>
              </w:rPr>
            </w:pPr>
            <w:r>
              <w:rPr>
                <w:rFonts w:ascii="Times New Roman" w:hAnsi="Times New Roman" w:cs="Times New Roman"/>
                <w:b/>
                <w:sz w:val="24"/>
                <w:szCs w:val="24"/>
              </w:rPr>
              <w:t>Industry</w:t>
            </w:r>
            <w:r w:rsidR="008C1D4B" w:rsidRPr="008C1D4B">
              <w:rPr>
                <w:rFonts w:ascii="Times New Roman" w:hAnsi="Times New Roman" w:cs="Times New Roman"/>
                <w:b/>
                <w:sz w:val="24"/>
                <w:szCs w:val="24"/>
              </w:rPr>
              <w:t xml:space="preserve"> Standard</w:t>
            </w:r>
          </w:p>
        </w:tc>
        <w:tc>
          <w:tcPr>
            <w:tcW w:w="3300" w:type="dxa"/>
            <w:vAlign w:val="center"/>
          </w:tcPr>
          <w:p w14:paraId="2F120CD2" w14:textId="77777777" w:rsidR="008C1D4B" w:rsidRPr="008C1D4B" w:rsidRDefault="008C1D4B" w:rsidP="008C1D4B">
            <w:pPr>
              <w:spacing w:after="60" w:line="240" w:lineRule="auto"/>
              <w:jc w:val="center"/>
              <w:rPr>
                <w:rFonts w:ascii="Times New Roman" w:hAnsi="Times New Roman" w:cs="Times New Roman"/>
                <w:b/>
                <w:sz w:val="24"/>
                <w:szCs w:val="24"/>
              </w:rPr>
            </w:pPr>
            <w:r w:rsidRPr="008C1D4B">
              <w:rPr>
                <w:rFonts w:ascii="Times New Roman" w:hAnsi="Times New Roman" w:cs="Times New Roman"/>
                <w:b/>
                <w:sz w:val="24"/>
                <w:szCs w:val="24"/>
              </w:rPr>
              <w:t>Description</w:t>
            </w:r>
          </w:p>
        </w:tc>
        <w:tc>
          <w:tcPr>
            <w:tcW w:w="3760" w:type="dxa"/>
            <w:vAlign w:val="center"/>
          </w:tcPr>
          <w:p w14:paraId="62829E8B" w14:textId="63A0A4FF" w:rsidR="008C1D4B" w:rsidRPr="008C1D4B" w:rsidRDefault="008C1D4B" w:rsidP="008C1D4B">
            <w:pPr>
              <w:spacing w:after="60" w:line="240" w:lineRule="auto"/>
              <w:jc w:val="center"/>
              <w:rPr>
                <w:rFonts w:ascii="Times New Roman" w:hAnsi="Times New Roman" w:cs="Times New Roman"/>
                <w:b/>
                <w:sz w:val="24"/>
                <w:szCs w:val="24"/>
              </w:rPr>
            </w:pPr>
            <w:r w:rsidRPr="008C1D4B">
              <w:rPr>
                <w:rFonts w:ascii="Times New Roman" w:hAnsi="Times New Roman" w:cs="Times New Roman"/>
                <w:b/>
                <w:sz w:val="24"/>
                <w:szCs w:val="24"/>
              </w:rPr>
              <w:t xml:space="preserve">How the </w:t>
            </w:r>
            <w:r w:rsidR="00937E25">
              <w:rPr>
                <w:rFonts w:ascii="Times New Roman" w:hAnsi="Times New Roman" w:cs="Times New Roman"/>
                <w:b/>
                <w:sz w:val="24"/>
                <w:szCs w:val="24"/>
              </w:rPr>
              <w:t xml:space="preserve">Industry </w:t>
            </w:r>
            <w:r w:rsidRPr="008C1D4B">
              <w:rPr>
                <w:rFonts w:ascii="Times New Roman" w:hAnsi="Times New Roman" w:cs="Times New Roman"/>
                <w:b/>
                <w:sz w:val="24"/>
                <w:szCs w:val="24"/>
              </w:rPr>
              <w:t>Standard Applies?</w:t>
            </w:r>
          </w:p>
        </w:tc>
      </w:tr>
      <w:tr w:rsidR="008C1D4B" w14:paraId="708F0903" w14:textId="77777777" w:rsidTr="008C1D4B">
        <w:tc>
          <w:tcPr>
            <w:tcW w:w="2300" w:type="dxa"/>
          </w:tcPr>
          <w:p w14:paraId="1F669887"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b/>
                <w:sz w:val="20"/>
                <w:szCs w:val="20"/>
              </w:rPr>
              <w:t>Apple Inc.</w:t>
            </w:r>
            <w:r>
              <w:rPr>
                <w:rFonts w:ascii="Times New Roman" w:hAnsi="Times New Roman" w:cs="Times New Roman"/>
                <w:sz w:val="20"/>
                <w:szCs w:val="20"/>
              </w:rPr>
              <w:br/>
              <w:t xml:space="preserve">App Store Review Guidelines (including TestFlight requirements)</w:t>
            </w:r>
          </w:p>
        </w:tc>
        <w:tc>
          <w:tcPr>
            <w:tcW w:w="3300" w:type="dxa"/>
          </w:tcPr>
          <w:p w14:paraId="3DF64012"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Apple's published rules for apps distributed through the App Store and TestFlight, covering safety, performance, privacy, and legal requirements.</w:t>
            </w:r>
          </w:p>
        </w:tc>
        <w:tc>
          <w:tcPr>
            <w:tcW w:w="3760" w:type="dxa"/>
          </w:tcPr>
          <w:p w14:paraId="2B04C1E4"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The Studio XE iOS build must meet these guidelines before it is accepted into Apple TestFlight. The pipeline signs the iOS build, and a minimal build is submitted within the first six weeks so that review requirements and delays are found early rather than in the final month.</w:t>
            </w:r>
          </w:p>
        </w:tc>
      </w:tr>
      <w:tr w:rsidR="008C1D4B" w14:paraId="182C39CC" w14:textId="77777777" w:rsidTr="008C1D4B">
        <w:tc>
          <w:tcPr>
            <w:tcW w:w="2300" w:type="dxa"/>
          </w:tcPr>
          <w:p w14:paraId="3A59B958"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b/>
                <w:sz w:val="20"/>
                <w:szCs w:val="20"/>
              </w:rPr>
              <w:t>Google LLC</w:t>
            </w:r>
            <w:r>
              <w:rPr>
                <w:rFonts w:ascii="Times New Roman" w:hAnsi="Times New Roman" w:cs="Times New Roman"/>
                <w:sz w:val="20"/>
                <w:szCs w:val="20"/>
              </w:rPr>
              <w:br/>
              <w:t xml:space="preserve">Google Play Developer Program Policies</w:t>
            </w:r>
          </w:p>
        </w:tc>
        <w:tc>
          <w:tcPr>
            <w:tcW w:w="3300" w:type="dxa"/>
          </w:tcPr>
          <w:p w14:paraId="1F28252F"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Google's policies for apps published on Google Play, covering content, privacy, security, and technical requirements such as app signing and target API level.</w:t>
            </w:r>
          </w:p>
        </w:tc>
        <w:tc>
          <w:tcPr>
            <w:tcW w:w="3760" w:type="dxa"/>
          </w:tcPr>
          <w:p w14:paraId="62274919"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The Studio XE Android build must comply with these policies before it is accepted into the Google Play internal testing track. The pipeline produces signed Android builds, and the early minimal submission checks policy compliance and review timing on this platform.</w:t>
            </w:r>
          </w:p>
        </w:tc>
      </w:tr>
      <w:tr w:rsidR="008C1D4B" w14:paraId="119E8583" w14:textId="77777777" w:rsidTr="008C1D4B">
        <w:tc>
          <w:tcPr>
            <w:tcW w:w="2300" w:type="dxa"/>
          </w:tcPr>
          <w:p w14:paraId="73B2084B"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b/>
                <w:sz w:val="20"/>
                <w:szCs w:val="20"/>
              </w:rPr>
              <w:t>ISO, IEC, and IEEE</w:t>
            </w:r>
            <w:r>
              <w:rPr>
                <w:rFonts w:ascii="Times New Roman" w:hAnsi="Times New Roman" w:cs="Times New Roman"/>
                <w:sz w:val="20"/>
                <w:szCs w:val="20"/>
              </w:rPr>
              <w:br/>
              <w:t xml:space="preserve">ISO/IEC/IEEE 29119, Parts 2 and 3 (Software Testing)</w:t>
            </w:r>
          </w:p>
        </w:tc>
        <w:tc>
          <w:tcPr>
            <w:tcW w:w="3300" w:type="dxa"/>
          </w:tcPr>
          <w:p w14:paraId="0FF52680"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An international series of standards for software testing. Part 2 defines test processes, and Part 3 defines test documentation.</w:t>
            </w:r>
          </w:p>
        </w:tc>
        <w:tc>
          <w:tcPr>
            <w:tcW w:w="3760" w:type="dxa"/>
          </w:tcPr>
          <w:p w14:paraId="4AD2BCB7"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Part 2 guides how the automated 19-screen smoke test is planned and run in continuous integration. Part 3 guides how test results and the physical-device validation for the OS support matrix are documented.</w:t>
            </w:r>
          </w:p>
        </w:tc>
      </w:tr>
      <w:tr w:rsidR="008C1D4B" w14:paraId="0578E58C" w14:textId="77777777" w:rsidTr="008C1D4B">
        <w:tc>
          <w:tcPr>
            <w:tcW w:w="2300" w:type="dxa"/>
          </w:tcPr>
          <w:p w14:paraId="09749B94"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b/>
                <w:sz w:val="20"/>
                <w:szCs w:val="20"/>
              </w:rPr>
              <w:t>ISO and IEC</w:t>
            </w:r>
            <w:r>
              <w:rPr>
                <w:rFonts w:ascii="Times New Roman" w:hAnsi="Times New Roman" w:cs="Times New Roman"/>
                <w:sz w:val="20"/>
                <w:szCs w:val="20"/>
              </w:rPr>
              <w:br/>
              <w:t xml:space="preserve">ISO/IEC 25010 (Systems and Software Quality Models)</w:t>
            </w:r>
          </w:p>
        </w:tc>
        <w:tc>
          <w:tcPr>
            <w:tcW w:w="3300" w:type="dxa"/>
          </w:tcPr>
          <w:p w14:paraId="59813DF4"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Defines software quality characteristics, including reliability, compatibility, portability, and security.</w:t>
            </w:r>
          </w:p>
        </w:tc>
        <w:tc>
          <w:tcPr>
            <w:tcW w:w="3760" w:type="dxa"/>
          </w:tcPr>
          <w:p w14:paraId="4E329487"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Reliability guides the crash and error reporting and the documented triage process. Compatibility and portability guide the support matrix covering the current and two prior major OS versions on both platforms.</w:t>
            </w:r>
          </w:p>
        </w:tc>
      </w:tr>
      <w:tr w:rsidR="008C1D4B" w14:paraId="54AE7A91" w14:textId="77777777" w:rsidTr="008C1D4B">
        <w:tc>
          <w:tcPr>
            <w:tcW w:w="2300" w:type="dxa"/>
          </w:tcPr>
          <w:p w14:paraId="0A0AF1EC"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b/>
                <w:sz w:val="20"/>
                <w:szCs w:val="20"/>
              </w:rPr>
              <w:t>ISO, IEC, and IEEE</w:t>
            </w:r>
            <w:r>
              <w:rPr>
                <w:rFonts w:ascii="Times New Roman" w:hAnsi="Times New Roman" w:cs="Times New Roman"/>
                <w:sz w:val="20"/>
                <w:szCs w:val="20"/>
              </w:rPr>
              <w:br/>
              <w:t xml:space="preserve">ISO/IEC/IEEE 32675:2022 (DevOps)</w:t>
            </w:r>
          </w:p>
        </w:tc>
        <w:tc>
          <w:tcPr>
            <w:tcW w:w="3300" w:type="dxa"/>
          </w:tcPr>
          <w:p w14:paraId="60EF97D7"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A standard for DevOps practices used to build reliable and secure systems, including application build, package, and deployment.</w:t>
            </w:r>
          </w:p>
        </w:tc>
        <w:tc>
          <w:tcPr>
            <w:tcW w:w="3760" w:type="dxa"/>
          </w:tcPr>
          <w:p w14:paraId="62A0FA48"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Guides the automated build-and-submit pipeline, including repeatable builds from a single command, signed builds for both platforms, and smoke tests that run in continuous integration.</w:t>
            </w:r>
          </w:p>
        </w:tc>
      </w:tr>
      <w:tr w:rsidR="008C1D4B" w14:paraId="2FEF8E77" w14:textId="77777777" w:rsidTr="008C1D4B">
        <w:tc>
          <w:tcPr>
            <w:tcW w:w="2300" w:type="dxa"/>
          </w:tcPr>
          <w:p w14:paraId="44A0E16B"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b/>
                <w:sz w:val="20"/>
                <w:szCs w:val="20"/>
              </w:rPr>
              <w:t>National Institute of Standards and Technology (NIST)</w:t>
            </w:r>
            <w:r>
              <w:rPr>
                <w:rFonts w:ascii="Times New Roman" w:hAnsi="Times New Roman" w:cs="Times New Roman"/>
                <w:sz w:val="20"/>
                <w:szCs w:val="20"/>
              </w:rPr>
              <w:br/>
              <w:t xml:space="preserve">NIST SP 800-218, Secure Software Development Framework (SSDF) v1.1</w:t>
            </w:r>
          </w:p>
        </w:tc>
        <w:tc>
          <w:tcPr>
            <w:tcW w:w="3300" w:type="dxa"/>
          </w:tcPr>
          <w:p w14:paraId="6AF4B06B"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A set of secure software development practices for preparing the organization, protecting software from tampering, producing well-secured software, and responding to vulnerabilities.</w:t>
            </w:r>
          </w:p>
        </w:tc>
        <w:tc>
          <w:tcPr>
            <w:tcW w:w="3760" w:type="dxa"/>
          </w:tcPr>
          <w:p w14:paraId="4820DDF3"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Guides how signing credentials and the build environment are protected in the release pipeline, so that the signed iOS and Android builds submitted to the stores can be trusted and traced to their source code.</w:t>
            </w:r>
          </w:p>
        </w:tc>
      </w:tr>
      <w:tr w:rsidR="008C1D4B" w14:paraId="1EBCBAFC" w14:textId="77777777" w:rsidTr="008C1D4B">
        <w:tc>
          <w:tcPr>
            <w:tcW w:w="2300" w:type="dxa"/>
          </w:tcPr>
          <w:p w14:paraId="1439473F"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b/>
                <w:sz w:val="20"/>
                <w:szCs w:val="20"/>
              </w:rPr>
              <w:t>OWASP Foundation</w:t>
            </w:r>
            <w:r>
              <w:rPr>
                <w:rFonts w:ascii="Times New Roman" w:hAnsi="Times New Roman" w:cs="Times New Roman"/>
                <w:sz w:val="20"/>
                <w:szCs w:val="20"/>
              </w:rPr>
              <w:br/>
              <w:t xml:space="preserve">Mobile Application Security Verification Standard (MASVS)</w:t>
            </w:r>
          </w:p>
        </w:tc>
        <w:tc>
          <w:tcPr>
            <w:tcW w:w="3300" w:type="dxa"/>
          </w:tcPr>
          <w:p w14:paraId="746EF175"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A set of security requirements for mobile apps covering data storage, cryptography, network communication, platform use, and privacy.</w:t>
            </w:r>
          </w:p>
        </w:tc>
        <w:tc>
          <w:tcPr>
            <w:tcW w:w="3760" w:type="dxa"/>
          </w:tcPr>
          <w:p w14:paraId="5F3210D6" w14:textId="77777777" w:rsidR="008C1D4B" w:rsidRDefault="008C1D4B" w:rsidP="008C1D4B">
            <w:pPr>
              <w:spacing w:after="60" w:line="240" w:lineRule="auto"/>
              <w:rPr>
                <w:rFonts w:ascii="Times New Roman" w:hAnsi="Times New Roman" w:cs="Times New Roman"/>
                <w:sz w:val="20"/>
                <w:szCs w:val="20"/>
              </w:rPr>
            </w:pPr>
            <w:r>
              <w:rPr>
                <w:rFonts w:ascii="Times New Roman" w:hAnsi="Times New Roman" w:cs="Times New Roman"/>
                <w:sz w:val="20"/>
                <w:szCs w:val="20"/>
              </w:rPr>
              <w:t xml:space="preserve">Studio XE serves healthcare, financial, and legal firms, so crash and error reports must be configured to exclude sensitive user data. The MASVS storage and privacy requirements serve as the checklist for that configuration.</w:t>
            </w:r>
          </w:p>
        </w:tc>
      </w:tr>
    </w:tbl>
    <w:p w14:paraId="495E15D6" w14:textId="77777777" w:rsidR="008C1D4B" w:rsidRPr="008C1D4B" w:rsidRDefault="008C1D4B" w:rsidP="008C1D4B">
      <w:pPr>
        <w:rPr>
          <w:rFonts w:ascii="Times New Roman" w:hAnsi="Times New Roman" w:cs="Times New Roman"/>
          <w:sz w:val="24"/>
          <w:szCs w:val="24"/>
        </w:rPr>
      </w:pPr>
    </w:p>
    <w:sectPr w:rsidR="008C1D4B" w:rsidRPr="008C1D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AC5D4" w14:textId="77777777" w:rsidR="00FE7402" w:rsidRDefault="00FE7402" w:rsidP="00FE7402">
      <w:pPr>
        <w:spacing w:after="0" w:line="240" w:lineRule="auto"/>
      </w:pPr>
      <w:r>
        <w:separator/>
      </w:r>
    </w:p>
  </w:endnote>
  <w:endnote w:type="continuationSeparator" w:id="0">
    <w:p w14:paraId="2E4CCD7A" w14:textId="77777777" w:rsidR="00FE7402" w:rsidRDefault="00FE7402" w:rsidP="00FE7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3B91" w14:textId="7C986839" w:rsidR="00FE7402" w:rsidRDefault="00780839" w:rsidP="00780839">
    <w:pPr>
      <w:pStyle w:val="Footer"/>
      <w:jc w:val="center"/>
    </w:pPr>
    <w:r w:rsidRPr="00743491">
      <w:rPr>
        <w:rFonts w:ascii="Times New Roman" w:eastAsia="Times New Roman" w:hAnsi="Times New Roman" w:cs="Times New Roman"/>
        <w:sz w:val="24"/>
        <w:szCs w:val="24"/>
      </w:rPr>
      <w:t>© 20</w:t>
    </w:r>
    <w:r>
      <w:rPr>
        <w:rFonts w:ascii="Times New Roman" w:eastAsia="Times New Roman" w:hAnsi="Times New Roman" w:cs="Times New Roman"/>
        <w:sz w:val="24"/>
        <w:szCs w:val="24"/>
      </w:rPr>
      <w:t>25</w:t>
    </w:r>
    <w:r w:rsidRPr="00743491">
      <w:rPr>
        <w:rFonts w:ascii="Times New Roman" w:eastAsia="Times New Roman" w:hAnsi="Times New Roman" w:cs="Times New Roman"/>
        <w:sz w:val="24"/>
        <w:szCs w:val="24"/>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51D4" w14:textId="77777777" w:rsidR="00FE7402" w:rsidRDefault="00FE7402" w:rsidP="00FE7402">
      <w:pPr>
        <w:spacing w:after="0" w:line="240" w:lineRule="auto"/>
      </w:pPr>
      <w:r>
        <w:separator/>
      </w:r>
    </w:p>
  </w:footnote>
  <w:footnote w:type="continuationSeparator" w:id="0">
    <w:p w14:paraId="3E61507B" w14:textId="77777777" w:rsidR="00FE7402" w:rsidRDefault="00FE7402" w:rsidP="00FE7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E626" w14:textId="51110B68" w:rsidR="00FE7402" w:rsidRDefault="00FE7402">
    <w:pPr>
      <w:pStyle w:val="Header"/>
    </w:pPr>
    <w:r>
      <w:rPr>
        <w:noProof/>
      </w:rPr>
      <w:drawing>
        <wp:inline distT="0" distB="0" distL="0" distR="0" wp14:anchorId="15EF7298" wp14:editId="48FC2E10">
          <wp:extent cx="3343275" cy="782955"/>
          <wp:effectExtent l="0" t="0" r="9525" b="0"/>
          <wp:docPr id="246479305" name="Picture 24647930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9305" name="Picture 246479305" descr="A black text on a white background&#10;&#10;AI-generated content may be incorrect."/>
                  <pic:cNvPicPr>
                    <a:picLocks noChangeAspect="1"/>
                  </pic:cNvPicPr>
                </pic:nvPicPr>
                <pic:blipFill>
                  <a:blip r:embed="rId1"/>
                  <a:stretch>
                    <a:fillRect/>
                  </a:stretch>
                </pic:blipFill>
                <pic:spPr>
                  <a:xfrm>
                    <a:off x="0" y="0"/>
                    <a:ext cx="3343275" cy="78295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D4B"/>
    <w:rsid w:val="001D7462"/>
    <w:rsid w:val="004004EE"/>
    <w:rsid w:val="00780839"/>
    <w:rsid w:val="008C1D4B"/>
    <w:rsid w:val="008F697B"/>
    <w:rsid w:val="00937E25"/>
    <w:rsid w:val="00FE7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2E567"/>
  <w15:chartTrackingRefBased/>
  <w15:docId w15:val="{B92CC006-CE39-400D-851E-EF1E9225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7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402"/>
  </w:style>
  <w:style w:type="paragraph" w:styleId="Footer">
    <w:name w:val="footer"/>
    <w:basedOn w:val="Normal"/>
    <w:link w:val="FooterChar"/>
    <w:uiPriority w:val="99"/>
    <w:unhideWhenUsed/>
    <w:rsid w:val="00FE7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A6B61F-2E75-4525-ABC9-903BCADFE3C3}">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963c7518-d1c0-4d18-ab17-c972d2ddd9bd"/>
    <ds:schemaRef ds:uri="http://schemas.microsoft.com/sharepoint/v3"/>
    <ds:schemaRef ds:uri="http://purl.org/dc/terms/"/>
    <ds:schemaRef ds:uri="http://schemas.openxmlformats.org/package/2006/metadata/core-properties"/>
    <ds:schemaRef ds:uri="f86f4d04-f249-4094-a26f-e6910d7f725b"/>
    <ds:schemaRef ds:uri="http://www.w3.org/XML/1998/namespace"/>
    <ds:schemaRef ds:uri="http://purl.org/dc/dcmitype/"/>
    <ds:schemaRef ds:uri="37d47695-dda2-48a2-87bc-2a1f7ac7fedc"/>
    <ds:schemaRef ds:uri="b3b59848-949a-4ed4-8036-feb011ce2b52"/>
  </ds:schemaRefs>
</ds:datastoreItem>
</file>

<file path=customXml/itemProps2.xml><?xml version="1.0" encoding="utf-8"?>
<ds:datastoreItem xmlns:ds="http://schemas.openxmlformats.org/officeDocument/2006/customXml" ds:itemID="{B3F12B74-952A-422A-95C0-45B158A64FE4}">
  <ds:schemaRefs>
    <ds:schemaRef ds:uri="http://schemas.microsoft.com/sharepoint/v3/contenttype/forms"/>
  </ds:schemaRefs>
</ds:datastoreItem>
</file>

<file path=customXml/itemProps3.xml><?xml version="1.0" encoding="utf-8"?>
<ds:datastoreItem xmlns:ds="http://schemas.openxmlformats.org/officeDocument/2006/customXml" ds:itemID="{F257C79D-C3F4-4AB2-88FA-823E860C8226}"/>
</file>

<file path=docProps/app.xml><?xml version="1.0" encoding="utf-8"?>
<Properties xmlns="http://schemas.openxmlformats.org/officeDocument/2006/extended-properties" xmlns:vt="http://schemas.openxmlformats.org/officeDocument/2006/docPropsVTypes">
  <Template>Normal</Template>
  <TotalTime>4</TotalTime>
  <Pages>1</Pages>
  <Words>19</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Russell</dc:creator>
  <cp:keywords/>
  <dc:description/>
  <cp:lastModifiedBy>Michelle Lipp (GCE)</cp:lastModifiedBy>
  <cp:revision>4</cp:revision>
  <dcterms:created xsi:type="dcterms:W3CDTF">2023-06-19T19:38:00Z</dcterms:created>
  <dcterms:modified xsi:type="dcterms:W3CDTF">2025-07-12T00:40:00Z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MediaServiceImageTags">
    <vt:lpwstr/>
  </property>
</Properties>
</file>