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445" w:type="dxa"/>
        <w:tblLook w:val="04A0" w:firstRow="1" w:lastRow="0" w:firstColumn="1" w:lastColumn="0" w:noHBand="0" w:noVBand="1"/>
      </w:tblPr>
      <w:tblGrid>
        <w:gridCol w:w="2159"/>
        <w:gridCol w:w="1762"/>
        <w:gridCol w:w="3454"/>
        <w:gridCol w:w="2070"/>
      </w:tblGrid>
      <w:tr w:rsidR="004E3EFE" w14:paraId="646A3FE8" w14:textId="77777777" w:rsidTr="004E3EFE">
        <w:tc>
          <w:tcPr>
            <w:tcW w:w="2159" w:type="dxa"/>
            <w:vAlign w:val="center"/>
          </w:tcPr>
          <w:p w14:paraId="0303838A" w14:textId="61ACFE51" w:rsidR="00804EBE" w:rsidRPr="004E3EFE" w:rsidRDefault="00804EBE" w:rsidP="00291388">
            <w:pPr>
              <w:rPr>
                <w:rFonts w:ascii="Times New Roman" w:hAnsi="Times New Roman" w:cs="Times New Roman"/>
                <w:b/>
                <w:bCs/>
              </w:rPr>
            </w:pPr>
            <w:r w:rsidRPr="004E3EFE">
              <w:rPr>
                <w:rFonts w:ascii="Times New Roman" w:hAnsi="Times New Roman" w:cs="Times New Roman"/>
                <w:b/>
                <w:bCs/>
              </w:rPr>
              <w:t>What to report</w:t>
            </w:r>
          </w:p>
        </w:tc>
        <w:tc>
          <w:tcPr>
            <w:tcW w:w="1762" w:type="dxa"/>
            <w:vAlign w:val="center"/>
          </w:tcPr>
          <w:p w14:paraId="38DA086B" w14:textId="67FAF20D" w:rsidR="00804EBE" w:rsidRPr="004E3EFE" w:rsidRDefault="00804EBE" w:rsidP="00291388">
            <w:pPr>
              <w:rPr>
                <w:rFonts w:ascii="Times New Roman" w:hAnsi="Times New Roman" w:cs="Times New Roman"/>
                <w:b/>
                <w:bCs/>
              </w:rPr>
            </w:pPr>
            <w:r w:rsidRPr="004E3EFE">
              <w:rPr>
                <w:rFonts w:ascii="Times New Roman" w:hAnsi="Times New Roman" w:cs="Times New Roman"/>
                <w:b/>
                <w:bCs/>
              </w:rPr>
              <w:t>Why is this important?</w:t>
            </w:r>
          </w:p>
        </w:tc>
        <w:tc>
          <w:tcPr>
            <w:tcW w:w="3454" w:type="dxa"/>
            <w:vAlign w:val="center"/>
          </w:tcPr>
          <w:p w14:paraId="1F81CF10" w14:textId="5BE9AF16" w:rsidR="00804EBE" w:rsidRPr="004E3EFE" w:rsidRDefault="00804EBE" w:rsidP="00291388">
            <w:pPr>
              <w:rPr>
                <w:rFonts w:ascii="Times New Roman" w:hAnsi="Times New Roman" w:cs="Times New Roman"/>
                <w:b/>
                <w:bCs/>
              </w:rPr>
            </w:pPr>
            <w:r w:rsidRPr="004E3EFE">
              <w:rPr>
                <w:rFonts w:ascii="Times New Roman" w:hAnsi="Times New Roman" w:cs="Times New Roman"/>
                <w:b/>
                <w:bCs/>
              </w:rPr>
              <w:t>Example</w:t>
            </w:r>
          </w:p>
        </w:tc>
        <w:tc>
          <w:tcPr>
            <w:tcW w:w="2070" w:type="dxa"/>
            <w:vAlign w:val="center"/>
          </w:tcPr>
          <w:p w14:paraId="6D43FDBD" w14:textId="781C1267" w:rsidR="00804EBE" w:rsidRPr="004E3EFE" w:rsidRDefault="00804EBE" w:rsidP="00291388">
            <w:pPr>
              <w:rPr>
                <w:rFonts w:ascii="Times New Roman" w:hAnsi="Times New Roman" w:cs="Times New Roman"/>
                <w:b/>
                <w:bCs/>
              </w:rPr>
            </w:pPr>
            <w:r w:rsidRPr="004E3EFE">
              <w:rPr>
                <w:rFonts w:ascii="Times New Roman" w:hAnsi="Times New Roman" w:cs="Times New Roman"/>
                <w:b/>
                <w:bCs/>
              </w:rPr>
              <w:t>What are we doing?</w:t>
            </w:r>
          </w:p>
        </w:tc>
      </w:tr>
      <w:tr w:rsidR="004E3EFE" w14:paraId="1161D143" w14:textId="77777777" w:rsidTr="004E3EFE">
        <w:tc>
          <w:tcPr>
            <w:tcW w:w="2159" w:type="dxa"/>
          </w:tcPr>
          <w:p w14:paraId="444259EF" w14:textId="6F847565" w:rsidR="00804EBE" w:rsidRPr="004E3EFE" w:rsidRDefault="00804EBE">
            <w:pPr>
              <w:rPr>
                <w:rFonts w:ascii="Times New Roman" w:hAnsi="Times New Roman" w:cs="Times New Roman"/>
              </w:rPr>
            </w:pPr>
            <w:r w:rsidRPr="004E3EFE">
              <w:rPr>
                <w:rFonts w:ascii="Times New Roman" w:hAnsi="Times New Roman" w:cs="Times New Roman"/>
              </w:rPr>
              <w:t>Source of occurrence data</w:t>
            </w:r>
          </w:p>
        </w:tc>
        <w:tc>
          <w:tcPr>
            <w:tcW w:w="1762" w:type="dxa"/>
          </w:tcPr>
          <w:p w14:paraId="40810E33" w14:textId="223054A7" w:rsidR="00804EBE" w:rsidRPr="004E3EFE" w:rsidRDefault="00804EBE">
            <w:pPr>
              <w:rPr>
                <w:rFonts w:ascii="Times New Roman" w:hAnsi="Times New Roman" w:cs="Times New Roman"/>
              </w:rPr>
            </w:pPr>
            <w:r w:rsidRPr="004E3EFE">
              <w:rPr>
                <w:rFonts w:ascii="Times New Roman" w:hAnsi="Times New Roman" w:cs="Times New Roman"/>
                <w:color w:val="222222"/>
                <w:shd w:val="clear" w:color="auto" w:fill="FFFFFF"/>
              </w:rPr>
              <w:t>Reporting occurrence data sources allows one to assess data quality and trace/correct any possible issues that may be detected.</w:t>
            </w:r>
          </w:p>
        </w:tc>
        <w:tc>
          <w:tcPr>
            <w:tcW w:w="3454" w:type="dxa"/>
          </w:tcPr>
          <w:p w14:paraId="320A9557" w14:textId="6955394F" w:rsidR="00804EBE" w:rsidRPr="004E3EFE" w:rsidRDefault="00804EBE">
            <w:pPr>
              <w:rPr>
                <w:rFonts w:ascii="Times New Roman" w:hAnsi="Times New Roman" w:cs="Times New Roman"/>
              </w:rPr>
            </w:pPr>
            <w:r w:rsidRPr="004E3EFE">
              <w:rPr>
                <w:rFonts w:ascii="Times New Roman" w:hAnsi="Times New Roman" w:cs="Times New Roman"/>
                <w:color w:val="222222"/>
                <w:shd w:val="clear" w:color="auto" w:fill="FFFFFF"/>
              </w:rPr>
              <w:t>“Species distribution records were collected from the Ocean Biogeographic Information System (OBIS; </w:t>
            </w:r>
            <w:hyperlink r:id="rId5" w:history="1">
              <w:r w:rsidRPr="004E3EFE">
                <w:rPr>
                  <w:rStyle w:val="Hyperlink"/>
                  <w:rFonts w:ascii="Times New Roman" w:hAnsi="Times New Roman" w:cs="Times New Roman"/>
                  <w:color w:val="006699"/>
                  <w:shd w:val="clear" w:color="auto" w:fill="FFFFFF"/>
                </w:rPr>
                <w:t>http://iobis.org</w:t>
              </w:r>
            </w:hyperlink>
            <w:r w:rsidRPr="004E3EFE">
              <w:rPr>
                <w:rFonts w:ascii="Times New Roman" w:hAnsi="Times New Roman" w:cs="Times New Roman"/>
                <w:color w:val="222222"/>
                <w:shd w:val="clear" w:color="auto" w:fill="FFFFFF"/>
              </w:rPr>
              <w:t>, accessed February 2016), from the Global Biodiversity Information Facility (GBIF; </w:t>
            </w:r>
            <w:hyperlink r:id="rId6" w:history="1">
              <w:r w:rsidRPr="004E3EFE">
                <w:rPr>
                  <w:rStyle w:val="Hyperlink"/>
                  <w:rFonts w:ascii="Times New Roman" w:hAnsi="Times New Roman" w:cs="Times New Roman"/>
                  <w:color w:val="006699"/>
                  <w:shd w:val="clear" w:color="auto" w:fill="FFFFFF"/>
                </w:rPr>
                <w:t>http://gbif.org</w:t>
              </w:r>
            </w:hyperlink>
            <w:r w:rsidRPr="004E3EFE">
              <w:rPr>
                <w:rFonts w:ascii="Times New Roman" w:hAnsi="Times New Roman" w:cs="Times New Roman"/>
                <w:color w:val="222222"/>
                <w:shd w:val="clear" w:color="auto" w:fill="FFFFFF"/>
              </w:rPr>
              <w:t>, accessed January 2016), the Reef Life Survey (RLS; </w:t>
            </w:r>
            <w:hyperlink r:id="rId7" w:history="1">
              <w:r w:rsidRPr="004E3EFE">
                <w:rPr>
                  <w:rStyle w:val="Hyperlink"/>
                  <w:rFonts w:ascii="Times New Roman" w:hAnsi="Times New Roman" w:cs="Times New Roman"/>
                  <w:color w:val="006699"/>
                  <w:shd w:val="clear" w:color="auto" w:fill="FFFFFF"/>
                </w:rPr>
                <w:t>http://reeflifesurvey.com</w:t>
              </w:r>
            </w:hyperlink>
            <w:r w:rsidRPr="004E3EFE">
              <w:rPr>
                <w:rFonts w:ascii="Times New Roman" w:hAnsi="Times New Roman" w:cs="Times New Roman"/>
                <w:color w:val="222222"/>
                <w:shd w:val="clear" w:color="auto" w:fill="FFFFFF"/>
              </w:rPr>
              <w:t>, accessed February 2016) and for a few species via personal communications.”</w:t>
            </w:r>
            <w:r w:rsidRPr="004E3EFE">
              <w:rPr>
                <w:rFonts w:ascii="Times New Roman" w:hAnsi="Times New Roman" w:cs="Times New Roman"/>
              </w:rPr>
              <w:t xml:space="preserve"> </w:t>
            </w:r>
          </w:p>
        </w:tc>
        <w:tc>
          <w:tcPr>
            <w:tcW w:w="2070" w:type="dxa"/>
          </w:tcPr>
          <w:p w14:paraId="04FC1423" w14:textId="77777777" w:rsidR="00804EBE" w:rsidRDefault="00804EBE">
            <w:pPr>
              <w:rPr>
                <w:rFonts w:ascii="Times New Roman" w:hAnsi="Times New Roman" w:cs="Times New Roman"/>
              </w:rPr>
            </w:pPr>
            <w:r w:rsidRPr="004E3EFE">
              <w:rPr>
                <w:rFonts w:ascii="Times New Roman" w:hAnsi="Times New Roman" w:cs="Times New Roman"/>
              </w:rPr>
              <w:t xml:space="preserve">-Species distributions records were obtained from museum/voucher collections at UI </w:t>
            </w:r>
          </w:p>
          <w:p w14:paraId="5B100A23" w14:textId="3B383493" w:rsidR="00233E84" w:rsidRPr="004E3EFE" w:rsidRDefault="00233E84">
            <w:pPr>
              <w:rPr>
                <w:rFonts w:ascii="Times New Roman" w:hAnsi="Times New Roman" w:cs="Times New Roman"/>
              </w:rPr>
            </w:pPr>
            <w:r w:rsidRPr="00233E84">
              <w:rPr>
                <w:rFonts w:ascii="Times New Roman" w:hAnsi="Times New Roman" w:cs="Times New Roman"/>
                <w:color w:val="4472C4" w:themeColor="accent1"/>
              </w:rPr>
              <w:t>- If we’d like to use GBIF, I have a script! I was able to get 500 occurrence data points for Ecuador that we can filter</w:t>
            </w:r>
          </w:p>
        </w:tc>
      </w:tr>
      <w:tr w:rsidR="004E3EFE" w14:paraId="07470EEB" w14:textId="77777777" w:rsidTr="004E3EFE">
        <w:tc>
          <w:tcPr>
            <w:tcW w:w="2159" w:type="dxa"/>
          </w:tcPr>
          <w:p w14:paraId="1D94313D" w14:textId="058371C0" w:rsidR="00804EBE" w:rsidRPr="004E3EFE" w:rsidRDefault="00804EBE">
            <w:pPr>
              <w:rPr>
                <w:rFonts w:ascii="Times New Roman" w:hAnsi="Times New Roman" w:cs="Times New Roman"/>
              </w:rPr>
            </w:pPr>
            <w:r w:rsidRPr="004E3EFE">
              <w:rPr>
                <w:rFonts w:ascii="Times New Roman" w:hAnsi="Times New Roman" w:cs="Times New Roman"/>
              </w:rPr>
              <w:t>Download data; version of data source</w:t>
            </w:r>
          </w:p>
        </w:tc>
        <w:tc>
          <w:tcPr>
            <w:tcW w:w="1762" w:type="dxa"/>
          </w:tcPr>
          <w:p w14:paraId="5931BDD0" w14:textId="418193D2" w:rsidR="00804EBE" w:rsidRPr="004E3EFE" w:rsidRDefault="00804EBE">
            <w:pPr>
              <w:rPr>
                <w:rFonts w:ascii="Times New Roman" w:hAnsi="Times New Roman" w:cs="Times New Roman"/>
              </w:rPr>
            </w:pPr>
            <w:r w:rsidRPr="004E3EFE">
              <w:rPr>
                <w:rFonts w:ascii="Times New Roman" w:hAnsi="Times New Roman" w:cs="Times New Roman"/>
                <w:color w:val="222222"/>
                <w:shd w:val="clear" w:color="auto" w:fill="FFFFFF"/>
              </w:rPr>
              <w:t>Databases and datasets change over time.</w:t>
            </w:r>
          </w:p>
        </w:tc>
        <w:tc>
          <w:tcPr>
            <w:tcW w:w="3454" w:type="dxa"/>
          </w:tcPr>
          <w:p w14:paraId="644BA76E" w14:textId="687A305A" w:rsidR="00804EBE" w:rsidRPr="004E3EFE" w:rsidRDefault="00804EBE">
            <w:pPr>
              <w:rPr>
                <w:rFonts w:ascii="Times New Roman" w:hAnsi="Times New Roman" w:cs="Times New Roman"/>
              </w:rPr>
            </w:pPr>
            <w:r w:rsidRPr="004E3EFE">
              <w:rPr>
                <w:rFonts w:ascii="Times New Roman" w:hAnsi="Times New Roman" w:cs="Times New Roman"/>
              </w:rPr>
              <w:t>“</w:t>
            </w:r>
            <w:r w:rsidRPr="004E3EFE">
              <w:rPr>
                <w:rFonts w:ascii="Times New Roman" w:hAnsi="Times New Roman" w:cs="Times New Roman"/>
                <w:color w:val="222222"/>
                <w:shd w:val="clear" w:color="auto" w:fill="FFFFFF"/>
              </w:rPr>
              <w:t>Occurrences were downloaded from GBIF.org on 28 January 2016”</w:t>
            </w:r>
          </w:p>
        </w:tc>
        <w:tc>
          <w:tcPr>
            <w:tcW w:w="2070" w:type="dxa"/>
          </w:tcPr>
          <w:p w14:paraId="14931315" w14:textId="2610298A" w:rsidR="00804EBE" w:rsidRPr="004E3EFE" w:rsidRDefault="00804EBE">
            <w:pPr>
              <w:rPr>
                <w:rFonts w:ascii="Times New Roman" w:hAnsi="Times New Roman" w:cs="Times New Roman"/>
              </w:rPr>
            </w:pPr>
            <w:r w:rsidRPr="004E3EFE">
              <w:rPr>
                <w:rFonts w:ascii="Times New Roman" w:hAnsi="Times New Roman" w:cs="Times New Roman"/>
              </w:rPr>
              <w:t>- We will use the most up-to-date data available</w:t>
            </w:r>
          </w:p>
          <w:p w14:paraId="4563231E" w14:textId="64E643BD" w:rsidR="00804EBE" w:rsidRPr="004E3EFE" w:rsidRDefault="00804EBE">
            <w:pPr>
              <w:rPr>
                <w:rFonts w:ascii="Times New Roman" w:hAnsi="Times New Roman" w:cs="Times New Roman"/>
              </w:rPr>
            </w:pPr>
            <w:r w:rsidRPr="004E3EFE">
              <w:rPr>
                <w:rFonts w:ascii="Times New Roman" w:hAnsi="Times New Roman" w:cs="Times New Roman"/>
              </w:rPr>
              <w:t>- currently no plan to use data from GBIF or other sources</w:t>
            </w:r>
          </w:p>
        </w:tc>
      </w:tr>
      <w:tr w:rsidR="004E3EFE" w14:paraId="1DD9E015" w14:textId="77777777" w:rsidTr="004E3EFE">
        <w:tc>
          <w:tcPr>
            <w:tcW w:w="2159" w:type="dxa"/>
          </w:tcPr>
          <w:p w14:paraId="353AE479" w14:textId="187BC304" w:rsidR="00804EBE" w:rsidRPr="004E3EFE" w:rsidRDefault="00804EBE">
            <w:pPr>
              <w:rPr>
                <w:rFonts w:ascii="Times New Roman" w:hAnsi="Times New Roman" w:cs="Times New Roman"/>
              </w:rPr>
            </w:pPr>
            <w:r w:rsidRPr="004E3EFE">
              <w:rPr>
                <w:rFonts w:ascii="Times New Roman" w:hAnsi="Times New Roman" w:cs="Times New Roman"/>
              </w:rPr>
              <w:t>Basis of records</w:t>
            </w:r>
          </w:p>
        </w:tc>
        <w:tc>
          <w:tcPr>
            <w:tcW w:w="1762" w:type="dxa"/>
          </w:tcPr>
          <w:p w14:paraId="2F5BC010" w14:textId="4C02ED82" w:rsidR="00804EBE" w:rsidRPr="004E3EFE" w:rsidRDefault="00804EBE">
            <w:pPr>
              <w:rPr>
                <w:rFonts w:ascii="Times New Roman" w:hAnsi="Times New Roman" w:cs="Times New Roman"/>
              </w:rPr>
            </w:pPr>
            <w:r w:rsidRPr="004E3EFE">
              <w:rPr>
                <w:rFonts w:ascii="Times New Roman" w:hAnsi="Times New Roman" w:cs="Times New Roman"/>
              </w:rPr>
              <w:t>Databases comprise many different types of data (data collected opportunistically, structured or repeated surveys, comprehensive checklists, by scientists or citizen scientists)</w:t>
            </w:r>
          </w:p>
        </w:tc>
        <w:tc>
          <w:tcPr>
            <w:tcW w:w="3454" w:type="dxa"/>
          </w:tcPr>
          <w:p w14:paraId="6DE3F1F0" w14:textId="7B485C0F" w:rsidR="00804EBE" w:rsidRPr="004E3EFE" w:rsidRDefault="00804EBE">
            <w:pPr>
              <w:rPr>
                <w:rFonts w:ascii="Times New Roman" w:hAnsi="Times New Roman" w:cs="Times New Roman"/>
              </w:rPr>
            </w:pPr>
            <w:r w:rsidRPr="004E3EFE">
              <w:rPr>
                <w:rFonts w:ascii="Times New Roman" w:hAnsi="Times New Roman" w:cs="Times New Roman"/>
                <w:color w:val="222222"/>
                <w:shd w:val="clear" w:color="auto" w:fill="FFFFFF"/>
              </w:rPr>
              <w:t>“Before fieldwork, we obtained locality information from </w:t>
            </w:r>
            <w:r w:rsidRPr="004E3EFE">
              <w:rPr>
                <w:rFonts w:ascii="Times New Roman" w:hAnsi="Times New Roman" w:cs="Times New Roman"/>
                <w:i/>
                <w:iCs/>
                <w:color w:val="222222"/>
                <w:shd w:val="clear" w:color="auto" w:fill="FFFFFF"/>
              </w:rPr>
              <w:t>C. canescens</w:t>
            </w:r>
            <w:r w:rsidRPr="004E3EFE">
              <w:rPr>
                <w:rFonts w:ascii="Times New Roman" w:hAnsi="Times New Roman" w:cs="Times New Roman"/>
                <w:color w:val="222222"/>
                <w:shd w:val="clear" w:color="auto" w:fill="FFFFFF"/>
              </w:rPr>
              <w:t> herbarium specimens and online biodiversity databases such as the Southwest Environmental Information Network and the Rocky Mountain Herbarium (University of Wyoming). In addition, the Rocky Mountain Herbarium and the Colorado State University Herbarium were visited to examine potentially misidentified specimens from outlying portions of the species’ distribution.”</w:t>
            </w:r>
          </w:p>
        </w:tc>
        <w:tc>
          <w:tcPr>
            <w:tcW w:w="2070" w:type="dxa"/>
          </w:tcPr>
          <w:p w14:paraId="5CC57301" w14:textId="75C8A5C6" w:rsidR="00804EBE" w:rsidRPr="004E3EFE" w:rsidRDefault="00804EBE">
            <w:pPr>
              <w:rPr>
                <w:rFonts w:ascii="Times New Roman" w:hAnsi="Times New Roman" w:cs="Times New Roman"/>
              </w:rPr>
            </w:pPr>
            <w:r w:rsidRPr="004E3EFE">
              <w:rPr>
                <w:rFonts w:ascii="Times New Roman" w:hAnsi="Times New Roman" w:cs="Times New Roman"/>
              </w:rPr>
              <w:t xml:space="preserve">Samples were collected over the past 20 years opportunistically and as part of both structured and repeated surveys. </w:t>
            </w:r>
          </w:p>
        </w:tc>
      </w:tr>
      <w:tr w:rsidR="004E3EFE" w14:paraId="14E1CF7A" w14:textId="77777777" w:rsidTr="004E3EFE">
        <w:tc>
          <w:tcPr>
            <w:tcW w:w="2159" w:type="dxa"/>
          </w:tcPr>
          <w:p w14:paraId="3500AC67" w14:textId="235FB583" w:rsidR="00804EBE" w:rsidRPr="004E3EFE" w:rsidRDefault="00804EBE">
            <w:pPr>
              <w:rPr>
                <w:rFonts w:ascii="Times New Roman" w:hAnsi="Times New Roman" w:cs="Times New Roman"/>
              </w:rPr>
            </w:pPr>
            <w:r w:rsidRPr="004E3EFE">
              <w:rPr>
                <w:rFonts w:ascii="Times New Roman" w:hAnsi="Times New Roman" w:cs="Times New Roman"/>
              </w:rPr>
              <w:t>Spatial extent</w:t>
            </w:r>
          </w:p>
        </w:tc>
        <w:tc>
          <w:tcPr>
            <w:tcW w:w="1762" w:type="dxa"/>
          </w:tcPr>
          <w:p w14:paraId="75E2C2EE" w14:textId="3C16B068" w:rsidR="00804EBE" w:rsidRPr="004E3EFE" w:rsidRDefault="00804EBE">
            <w:pPr>
              <w:rPr>
                <w:rFonts w:ascii="Times New Roman" w:hAnsi="Times New Roman" w:cs="Times New Roman"/>
              </w:rPr>
            </w:pPr>
            <w:r w:rsidRPr="004E3EFE">
              <w:rPr>
                <w:rFonts w:ascii="Times New Roman" w:hAnsi="Times New Roman" w:cs="Times New Roman"/>
                <w:color w:val="222222"/>
                <w:shd w:val="clear" w:color="auto" w:fill="FFFFFF"/>
              </w:rPr>
              <w:t xml:space="preserve">Spatial extent of occurrences is crucial for interpretation of model predictions, including whether potential sink populations are included, whether sampling is biased or whether records outside the </w:t>
            </w:r>
            <w:r w:rsidRPr="004E3EFE">
              <w:rPr>
                <w:rFonts w:ascii="Times New Roman" w:hAnsi="Times New Roman" w:cs="Times New Roman"/>
                <w:color w:val="222222"/>
                <w:shd w:val="clear" w:color="auto" w:fill="FFFFFF"/>
              </w:rPr>
              <w:lastRenderedPageBreak/>
              <w:t>native range are used.</w:t>
            </w:r>
          </w:p>
        </w:tc>
        <w:tc>
          <w:tcPr>
            <w:tcW w:w="3454" w:type="dxa"/>
          </w:tcPr>
          <w:p w14:paraId="175D2AA9" w14:textId="7671E09A" w:rsidR="00804EBE" w:rsidRPr="004E3EFE" w:rsidRDefault="00804EBE">
            <w:pPr>
              <w:rPr>
                <w:rFonts w:ascii="Times New Roman" w:hAnsi="Times New Roman" w:cs="Times New Roman"/>
              </w:rPr>
            </w:pPr>
            <w:r w:rsidRPr="004E3EFE">
              <w:rPr>
                <w:rFonts w:ascii="Times New Roman" w:hAnsi="Times New Roman" w:cs="Times New Roman"/>
                <w:color w:val="222222"/>
                <w:shd w:val="clear" w:color="auto" w:fill="FFFFFF"/>
              </w:rPr>
              <w:lastRenderedPageBreak/>
              <w:t>We integrated missing countries by obtaining occurrences from the literature</w:t>
            </w:r>
            <w:r w:rsidR="00103E65" w:rsidRPr="004E3EFE">
              <w:rPr>
                <w:rFonts w:ascii="Times New Roman" w:hAnsi="Times New Roman" w:cs="Times New Roman"/>
                <w:color w:val="222222"/>
                <w:shd w:val="clear" w:color="auto" w:fill="FFFFFF"/>
              </w:rPr>
              <w:t xml:space="preserve">. </w:t>
            </w:r>
            <w:r w:rsidRPr="004E3EFE">
              <w:rPr>
                <w:rFonts w:ascii="Times New Roman" w:hAnsi="Times New Roman" w:cs="Times New Roman"/>
                <w:color w:val="222222"/>
                <w:shd w:val="clear" w:color="auto" w:fill="FFFFFF"/>
              </w:rPr>
              <w:t>To increase the accuracy of the analysis, we excluded the following records: (1) localities for which we were not able to obtain precise coordinates; [...] (4) record of </w:t>
            </w:r>
            <w:r w:rsidRPr="004E3EFE">
              <w:rPr>
                <w:rFonts w:ascii="Times New Roman" w:hAnsi="Times New Roman" w:cs="Times New Roman"/>
                <w:i/>
                <w:iCs/>
                <w:color w:val="222222"/>
                <w:shd w:val="clear" w:color="auto" w:fill="FFFFFF"/>
              </w:rPr>
              <w:t>M. bourneti</w:t>
            </w:r>
            <w:r w:rsidRPr="004E3EFE">
              <w:rPr>
                <w:rFonts w:ascii="Times New Roman" w:hAnsi="Times New Roman" w:cs="Times New Roman"/>
                <w:color w:val="222222"/>
                <w:shd w:val="clear" w:color="auto" w:fill="FFFFFF"/>
              </w:rPr>
              <w:t> in the Canary Islands, due to taxonomical issues currently unresolved</w:t>
            </w:r>
            <w:r w:rsidR="00103E65" w:rsidRPr="004E3EFE">
              <w:rPr>
                <w:rFonts w:ascii="Times New Roman" w:hAnsi="Times New Roman" w:cs="Times New Roman"/>
                <w:color w:val="222222"/>
                <w:shd w:val="clear" w:color="auto" w:fill="FFFFFF"/>
              </w:rPr>
              <w:t>”</w:t>
            </w:r>
          </w:p>
        </w:tc>
        <w:tc>
          <w:tcPr>
            <w:tcW w:w="2070" w:type="dxa"/>
          </w:tcPr>
          <w:p w14:paraId="205F150F" w14:textId="77777777" w:rsidR="00804EBE" w:rsidRPr="004E3EFE" w:rsidRDefault="00804EBE" w:rsidP="002B2493">
            <w:pPr>
              <w:pStyle w:val="ListParagraph"/>
              <w:numPr>
                <w:ilvl w:val="0"/>
                <w:numId w:val="2"/>
              </w:numPr>
              <w:rPr>
                <w:rFonts w:ascii="Times New Roman" w:hAnsi="Times New Roman" w:cs="Times New Roman"/>
              </w:rPr>
            </w:pPr>
            <w:r w:rsidRPr="004E3EFE">
              <w:rPr>
                <w:rFonts w:ascii="Times New Roman" w:hAnsi="Times New Roman" w:cs="Times New Roman"/>
              </w:rPr>
              <w:t>We excluded localities without precise coordinates</w:t>
            </w:r>
          </w:p>
          <w:p w14:paraId="1AF6ED10" w14:textId="77777777" w:rsidR="00804EBE" w:rsidRPr="004E3EFE" w:rsidRDefault="00804EBE" w:rsidP="002B2493">
            <w:pPr>
              <w:pStyle w:val="ListParagraph"/>
              <w:numPr>
                <w:ilvl w:val="0"/>
                <w:numId w:val="2"/>
              </w:numPr>
              <w:rPr>
                <w:rFonts w:ascii="Times New Roman" w:hAnsi="Times New Roman" w:cs="Times New Roman"/>
              </w:rPr>
            </w:pPr>
            <w:r w:rsidRPr="004E3EFE">
              <w:rPr>
                <w:rFonts w:ascii="Times New Roman" w:hAnsi="Times New Roman" w:cs="Times New Roman"/>
              </w:rPr>
              <w:t>We excluded localities with unclear taxonomic identification</w:t>
            </w:r>
          </w:p>
          <w:p w14:paraId="6C3A5528" w14:textId="2E1780FB" w:rsidR="00804EBE" w:rsidRPr="004E3EFE" w:rsidRDefault="00804EBE" w:rsidP="002B2493">
            <w:pPr>
              <w:pStyle w:val="ListParagraph"/>
              <w:numPr>
                <w:ilvl w:val="0"/>
                <w:numId w:val="2"/>
              </w:numPr>
              <w:rPr>
                <w:rFonts w:ascii="Times New Roman" w:hAnsi="Times New Roman" w:cs="Times New Roman"/>
              </w:rPr>
            </w:pPr>
            <w:r w:rsidRPr="004E3EFE">
              <w:rPr>
                <w:rFonts w:ascii="Times New Roman" w:hAnsi="Times New Roman" w:cs="Times New Roman"/>
              </w:rPr>
              <w:t>We c</w:t>
            </w:r>
            <w:r w:rsidR="00103E65" w:rsidRPr="004E3EFE">
              <w:rPr>
                <w:rFonts w:ascii="Times New Roman" w:hAnsi="Times New Roman" w:cs="Times New Roman"/>
              </w:rPr>
              <w:t>ould</w:t>
            </w:r>
            <w:r w:rsidRPr="004E3EFE">
              <w:rPr>
                <w:rFonts w:ascii="Times New Roman" w:hAnsi="Times New Roman" w:cs="Times New Roman"/>
              </w:rPr>
              <w:t xml:space="preserve"> include locality information from other sources, but we are not missing </w:t>
            </w:r>
            <w:r w:rsidRPr="004E3EFE">
              <w:rPr>
                <w:rFonts w:ascii="Times New Roman" w:hAnsi="Times New Roman" w:cs="Times New Roman"/>
              </w:rPr>
              <w:lastRenderedPageBreak/>
              <w:t xml:space="preserve">major spatial areas  </w:t>
            </w:r>
          </w:p>
        </w:tc>
      </w:tr>
      <w:tr w:rsidR="004E3EFE" w14:paraId="048C45FB" w14:textId="77777777" w:rsidTr="004E3EFE">
        <w:tc>
          <w:tcPr>
            <w:tcW w:w="2159" w:type="dxa"/>
          </w:tcPr>
          <w:p w14:paraId="1CF500F4" w14:textId="4BE4E49F" w:rsidR="00804EBE" w:rsidRPr="004E3EFE" w:rsidRDefault="00804EBE">
            <w:pPr>
              <w:rPr>
                <w:rFonts w:ascii="Times New Roman" w:hAnsi="Times New Roman" w:cs="Times New Roman"/>
              </w:rPr>
            </w:pPr>
            <w:r w:rsidRPr="004E3EFE">
              <w:rPr>
                <w:rFonts w:ascii="Times New Roman" w:hAnsi="Times New Roman" w:cs="Times New Roman"/>
              </w:rPr>
              <w:lastRenderedPageBreak/>
              <w:t>Temporal range</w:t>
            </w:r>
          </w:p>
        </w:tc>
        <w:tc>
          <w:tcPr>
            <w:tcW w:w="1762" w:type="dxa"/>
          </w:tcPr>
          <w:p w14:paraId="7E32520D" w14:textId="788510D5" w:rsidR="00804EBE" w:rsidRPr="004E3EFE" w:rsidRDefault="00804EBE">
            <w:pPr>
              <w:rPr>
                <w:rFonts w:ascii="Times New Roman" w:hAnsi="Times New Roman" w:cs="Times New Roman"/>
              </w:rPr>
            </w:pPr>
            <w:r w:rsidRPr="004E3EFE">
              <w:rPr>
                <w:rFonts w:ascii="Times New Roman" w:hAnsi="Times New Roman" w:cs="Times New Roman"/>
                <w:color w:val="222222"/>
                <w:shd w:val="clear" w:color="auto" w:fill="FFFFFF"/>
              </w:rPr>
              <w:t>Environments can change over time, thus the timestamp of occurrence records is crucial for linking them to the relevant environmental conditions experienced by the species</w:t>
            </w:r>
          </w:p>
        </w:tc>
        <w:tc>
          <w:tcPr>
            <w:tcW w:w="3454" w:type="dxa"/>
          </w:tcPr>
          <w:p w14:paraId="6B82AC83" w14:textId="3B1DD56D" w:rsidR="00804EBE" w:rsidRPr="004E3EFE" w:rsidRDefault="00804EBE">
            <w:pPr>
              <w:rPr>
                <w:rFonts w:ascii="Times New Roman" w:hAnsi="Times New Roman" w:cs="Times New Roman"/>
              </w:rPr>
            </w:pPr>
            <w:r w:rsidRPr="004E3EFE">
              <w:rPr>
                <w:rFonts w:ascii="Times New Roman" w:hAnsi="Times New Roman" w:cs="Times New Roman"/>
              </w:rPr>
              <w:t>“</w:t>
            </w:r>
            <w:r w:rsidRPr="004E3EFE">
              <w:rPr>
                <w:rFonts w:ascii="Times New Roman" w:hAnsi="Times New Roman" w:cs="Times New Roman"/>
                <w:color w:val="222222"/>
                <w:shd w:val="clear" w:color="auto" w:fill="FFFFFF"/>
              </w:rPr>
              <w:t>Although the sightings dataset extended over 257 years, 79% of sightings occurred between 2000 and 2015. Therefore only this subset of 5,419 sightings was retained for further analysis. These sightings were divided into each quarter of the year (Jan–Mar, Apr–May, Jun–Aug and Sep–Dec) and matched with recent climate data available through online data sharing platforms.”</w:t>
            </w:r>
          </w:p>
        </w:tc>
        <w:tc>
          <w:tcPr>
            <w:tcW w:w="2070" w:type="dxa"/>
          </w:tcPr>
          <w:p w14:paraId="0F211E18" w14:textId="7A631742" w:rsidR="00804EBE" w:rsidRPr="004E3EFE" w:rsidRDefault="00804EBE" w:rsidP="002B2493">
            <w:pPr>
              <w:pStyle w:val="ListParagraph"/>
              <w:numPr>
                <w:ilvl w:val="0"/>
                <w:numId w:val="2"/>
              </w:numPr>
              <w:rPr>
                <w:rFonts w:ascii="Times New Roman" w:hAnsi="Times New Roman" w:cs="Times New Roman"/>
              </w:rPr>
            </w:pPr>
            <w:r w:rsidRPr="004E3EFE">
              <w:rPr>
                <w:rFonts w:ascii="Times New Roman" w:hAnsi="Times New Roman" w:cs="Times New Roman"/>
              </w:rPr>
              <w:t>Our sampling is only over the last ~20 years</w:t>
            </w:r>
          </w:p>
        </w:tc>
      </w:tr>
      <w:tr w:rsidR="004E3EFE" w14:paraId="5FACB7E7" w14:textId="77777777" w:rsidTr="004E3EFE">
        <w:tc>
          <w:tcPr>
            <w:tcW w:w="2159" w:type="dxa"/>
          </w:tcPr>
          <w:p w14:paraId="0EE21345" w14:textId="19AE42AE" w:rsidR="00804EBE" w:rsidRPr="004E3EFE" w:rsidRDefault="00804EBE">
            <w:pPr>
              <w:rPr>
                <w:rFonts w:ascii="Times New Roman" w:hAnsi="Times New Roman" w:cs="Times New Roman"/>
              </w:rPr>
            </w:pPr>
            <w:r w:rsidRPr="004E3EFE">
              <w:rPr>
                <w:rFonts w:ascii="Times New Roman" w:hAnsi="Times New Roman" w:cs="Times New Roman"/>
              </w:rPr>
              <w:t>Duplicate records</w:t>
            </w:r>
          </w:p>
        </w:tc>
        <w:tc>
          <w:tcPr>
            <w:tcW w:w="1762" w:type="dxa"/>
          </w:tcPr>
          <w:p w14:paraId="1209FC1C" w14:textId="309B7E82" w:rsidR="00804EBE" w:rsidRPr="004E3EFE" w:rsidRDefault="00804EBE">
            <w:pPr>
              <w:rPr>
                <w:rFonts w:ascii="Times New Roman" w:hAnsi="Times New Roman" w:cs="Times New Roman"/>
              </w:rPr>
            </w:pPr>
            <w:r w:rsidRPr="004E3EFE">
              <w:rPr>
                <w:rFonts w:ascii="Times New Roman" w:hAnsi="Times New Roman" w:cs="Times New Roman"/>
              </w:rPr>
              <w:t xml:space="preserve">Duplicated coordinates can bias model training </w:t>
            </w:r>
          </w:p>
        </w:tc>
        <w:tc>
          <w:tcPr>
            <w:tcW w:w="3454" w:type="dxa"/>
          </w:tcPr>
          <w:p w14:paraId="241980EF" w14:textId="3D3AC6F9" w:rsidR="00804EBE" w:rsidRPr="004E3EFE" w:rsidRDefault="00804EBE">
            <w:pPr>
              <w:rPr>
                <w:rFonts w:ascii="Times New Roman" w:hAnsi="Times New Roman" w:cs="Times New Roman"/>
              </w:rPr>
            </w:pPr>
            <w:r w:rsidRPr="004E3EFE">
              <w:rPr>
                <w:rFonts w:ascii="Times New Roman" w:hAnsi="Times New Roman" w:cs="Times New Roman"/>
              </w:rPr>
              <w:t>“…</w:t>
            </w:r>
            <w:r w:rsidRPr="004E3EFE">
              <w:rPr>
                <w:rFonts w:ascii="Times New Roman" w:hAnsi="Times New Roman" w:cs="Times New Roman"/>
                <w:color w:val="222222"/>
                <w:shd w:val="clear" w:color="auto" w:fill="FFFFFF"/>
              </w:rPr>
              <w:t>including removing duplicate species records from the same grid square.”</w:t>
            </w:r>
          </w:p>
        </w:tc>
        <w:tc>
          <w:tcPr>
            <w:tcW w:w="2070" w:type="dxa"/>
          </w:tcPr>
          <w:p w14:paraId="01742499" w14:textId="71A6B572" w:rsidR="00804EBE" w:rsidRPr="004E3EFE" w:rsidRDefault="00804EBE" w:rsidP="002B2493">
            <w:pPr>
              <w:pStyle w:val="ListParagraph"/>
              <w:numPr>
                <w:ilvl w:val="0"/>
                <w:numId w:val="2"/>
              </w:numPr>
              <w:rPr>
                <w:rFonts w:ascii="Times New Roman" w:hAnsi="Times New Roman" w:cs="Times New Roman"/>
              </w:rPr>
            </w:pPr>
            <w:r w:rsidRPr="004E3EFE">
              <w:rPr>
                <w:rFonts w:ascii="Times New Roman" w:hAnsi="Times New Roman" w:cs="Times New Roman"/>
              </w:rPr>
              <w:t>Duplicate coordinates have been removed for each species</w:t>
            </w:r>
          </w:p>
        </w:tc>
      </w:tr>
      <w:tr w:rsidR="004E3EFE" w14:paraId="7CDC6C22" w14:textId="77777777" w:rsidTr="004E3EFE">
        <w:tc>
          <w:tcPr>
            <w:tcW w:w="2159" w:type="dxa"/>
          </w:tcPr>
          <w:p w14:paraId="35BF8BF6" w14:textId="193356BC" w:rsidR="00804EBE" w:rsidRPr="004E3EFE" w:rsidRDefault="00103E65">
            <w:pPr>
              <w:rPr>
                <w:rFonts w:ascii="Times New Roman" w:hAnsi="Times New Roman" w:cs="Times New Roman"/>
              </w:rPr>
            </w:pPr>
            <w:r w:rsidRPr="004E3EFE">
              <w:rPr>
                <w:rFonts w:ascii="Times New Roman" w:hAnsi="Times New Roman" w:cs="Times New Roman"/>
              </w:rPr>
              <w:t>Spatial/environmental outliers; errors</w:t>
            </w:r>
          </w:p>
        </w:tc>
        <w:tc>
          <w:tcPr>
            <w:tcW w:w="1762" w:type="dxa"/>
          </w:tcPr>
          <w:p w14:paraId="106930D1" w14:textId="73661B10" w:rsidR="00804EBE" w:rsidRPr="004E3EFE" w:rsidRDefault="00103E65">
            <w:pPr>
              <w:rPr>
                <w:rFonts w:ascii="Times New Roman" w:hAnsi="Times New Roman" w:cs="Times New Roman"/>
              </w:rPr>
            </w:pPr>
            <w:r w:rsidRPr="004E3EFE">
              <w:rPr>
                <w:rFonts w:ascii="Times New Roman" w:hAnsi="Times New Roman" w:cs="Times New Roman"/>
              </w:rPr>
              <w:t>Outliers or errors may lead to model errors</w:t>
            </w:r>
          </w:p>
        </w:tc>
        <w:tc>
          <w:tcPr>
            <w:tcW w:w="3454" w:type="dxa"/>
          </w:tcPr>
          <w:p w14:paraId="2E8277E0" w14:textId="116ACD8F" w:rsidR="00804EBE" w:rsidRPr="004E3EFE" w:rsidRDefault="00103E65">
            <w:pPr>
              <w:rPr>
                <w:rFonts w:ascii="Times New Roman" w:hAnsi="Times New Roman" w:cs="Times New Roman"/>
              </w:rPr>
            </w:pPr>
            <w:r w:rsidRPr="004E3EFE">
              <w:rPr>
                <w:rFonts w:ascii="Times New Roman" w:hAnsi="Times New Roman" w:cs="Times New Roman"/>
                <w:color w:val="222222"/>
                <w:shd w:val="clear" w:color="auto" w:fill="FFFFFF"/>
              </w:rPr>
              <w:t>“Finally, we plotted all the points on maps and excluded any point falling far outside the proven distribution described in Krapovickas et al. (2007).”</w:t>
            </w:r>
          </w:p>
        </w:tc>
        <w:tc>
          <w:tcPr>
            <w:tcW w:w="2070" w:type="dxa"/>
          </w:tcPr>
          <w:p w14:paraId="5E3D9DD2" w14:textId="4B840658" w:rsidR="00804EBE" w:rsidRPr="004E3EFE" w:rsidRDefault="00103E65" w:rsidP="00103E65">
            <w:pPr>
              <w:pStyle w:val="ListParagraph"/>
              <w:numPr>
                <w:ilvl w:val="0"/>
                <w:numId w:val="2"/>
              </w:numPr>
              <w:rPr>
                <w:rFonts w:ascii="Times New Roman" w:hAnsi="Times New Roman" w:cs="Times New Roman"/>
              </w:rPr>
            </w:pPr>
            <w:r w:rsidRPr="004E3EFE">
              <w:rPr>
                <w:rFonts w:ascii="Times New Roman" w:hAnsi="Times New Roman" w:cs="Times New Roman"/>
              </w:rPr>
              <w:t>We will remove outlier points on the distribution maps based on expert opinion</w:t>
            </w:r>
          </w:p>
        </w:tc>
      </w:tr>
      <w:tr w:rsidR="00103E65" w14:paraId="333D43B3" w14:textId="77777777" w:rsidTr="004E3EFE">
        <w:tc>
          <w:tcPr>
            <w:tcW w:w="2159" w:type="dxa"/>
          </w:tcPr>
          <w:p w14:paraId="4805BFA4" w14:textId="3FB82947" w:rsidR="00103E65" w:rsidRPr="004E3EFE" w:rsidRDefault="0018758F">
            <w:pPr>
              <w:rPr>
                <w:rFonts w:ascii="Times New Roman" w:hAnsi="Times New Roman" w:cs="Times New Roman"/>
              </w:rPr>
            </w:pPr>
            <w:r w:rsidRPr="004E3EFE">
              <w:rPr>
                <w:rFonts w:ascii="Times New Roman" w:hAnsi="Times New Roman" w:cs="Times New Roman"/>
              </w:rPr>
              <w:t xml:space="preserve">Spatial and coordinate uncertainty </w:t>
            </w:r>
          </w:p>
        </w:tc>
        <w:tc>
          <w:tcPr>
            <w:tcW w:w="1762" w:type="dxa"/>
          </w:tcPr>
          <w:p w14:paraId="1F95DB82" w14:textId="02004413" w:rsidR="00103E65" w:rsidRPr="004E3EFE" w:rsidRDefault="006C14CF">
            <w:pPr>
              <w:rPr>
                <w:rFonts w:ascii="Times New Roman" w:hAnsi="Times New Roman" w:cs="Times New Roman"/>
              </w:rPr>
            </w:pPr>
            <w:r w:rsidRPr="004E3EFE">
              <w:rPr>
                <w:rFonts w:ascii="Times New Roman" w:hAnsi="Times New Roman" w:cs="Times New Roman"/>
              </w:rPr>
              <w:t>Coordinates may not be exact, different degrees of specificity, georeferenced based on description</w:t>
            </w:r>
          </w:p>
        </w:tc>
        <w:tc>
          <w:tcPr>
            <w:tcW w:w="3454" w:type="dxa"/>
          </w:tcPr>
          <w:p w14:paraId="5312D767" w14:textId="4BF01CE6" w:rsidR="00103E65" w:rsidRPr="004E3EFE" w:rsidRDefault="006C14CF">
            <w:pPr>
              <w:rPr>
                <w:rFonts w:ascii="Times New Roman" w:hAnsi="Times New Roman" w:cs="Times New Roman"/>
                <w:color w:val="222222"/>
                <w:shd w:val="clear" w:color="auto" w:fill="FFFFFF"/>
              </w:rPr>
            </w:pPr>
            <w:r w:rsidRPr="004E3EFE">
              <w:rPr>
                <w:rFonts w:ascii="Times New Roman" w:hAnsi="Times New Roman" w:cs="Times New Roman"/>
                <w:color w:val="222222"/>
                <w:shd w:val="clear" w:color="auto" w:fill="FFFFFF"/>
              </w:rPr>
              <w:t>““For this study, precise locality coordinates for </w:t>
            </w:r>
            <w:r w:rsidRPr="004E3EFE">
              <w:rPr>
                <w:rFonts w:ascii="Times New Roman" w:hAnsi="Times New Roman" w:cs="Times New Roman"/>
                <w:i/>
                <w:iCs/>
                <w:color w:val="222222"/>
                <w:shd w:val="clear" w:color="auto" w:fill="FFFFFF"/>
              </w:rPr>
              <w:t>P. solenopsis</w:t>
            </w:r>
            <w:r w:rsidRPr="004E3EFE">
              <w:rPr>
                <w:rFonts w:ascii="Times New Roman" w:hAnsi="Times New Roman" w:cs="Times New Roman"/>
                <w:color w:val="222222"/>
                <w:shd w:val="clear" w:color="auto" w:fill="FFFFFF"/>
              </w:rPr>
              <w:t> were not available, so the district-level occurrence data published by Nagrare et al. (2009) were used (</w:t>
            </w:r>
            <w:r w:rsidRPr="004E3EFE">
              <w:rPr>
                <w:rFonts w:ascii="Times New Roman" w:hAnsi="Times New Roman" w:cs="Times New Roman"/>
                <w:i/>
                <w:iCs/>
                <w:color w:val="222222"/>
                <w:shd w:val="clear" w:color="auto" w:fill="FFFFFF"/>
              </w:rPr>
              <w:t>n</w:t>
            </w:r>
            <w:r w:rsidRPr="004E3EFE">
              <w:rPr>
                <w:rFonts w:ascii="Times New Roman" w:hAnsi="Times New Roman" w:cs="Times New Roman"/>
                <w:color w:val="222222"/>
                <w:shd w:val="clear" w:color="auto" w:fill="FFFFFF"/>
              </w:rPr>
              <w:t> = 42 records). The centroid method may be acceptable if the target scale of prediction is global but may not be appropriate at national, state or finer scales.”</w:t>
            </w:r>
          </w:p>
        </w:tc>
        <w:tc>
          <w:tcPr>
            <w:tcW w:w="2070" w:type="dxa"/>
          </w:tcPr>
          <w:p w14:paraId="08F28A70" w14:textId="77777777" w:rsidR="00103E65" w:rsidRPr="004E3EFE" w:rsidRDefault="006C14CF" w:rsidP="00103E65">
            <w:pPr>
              <w:pStyle w:val="ListParagraph"/>
              <w:numPr>
                <w:ilvl w:val="0"/>
                <w:numId w:val="2"/>
              </w:numPr>
              <w:rPr>
                <w:rFonts w:ascii="Times New Roman" w:hAnsi="Times New Roman" w:cs="Times New Roman"/>
              </w:rPr>
            </w:pPr>
            <w:r w:rsidRPr="004E3EFE">
              <w:rPr>
                <w:rFonts w:ascii="Times New Roman" w:hAnsi="Times New Roman" w:cs="Times New Roman"/>
              </w:rPr>
              <w:t>Our coordinates are exact or very close to exact</w:t>
            </w:r>
          </w:p>
          <w:p w14:paraId="14DE67B5" w14:textId="16A79B0C" w:rsidR="006C14CF" w:rsidRPr="004E3EFE" w:rsidRDefault="006C14CF" w:rsidP="00103E65">
            <w:pPr>
              <w:pStyle w:val="ListParagraph"/>
              <w:numPr>
                <w:ilvl w:val="0"/>
                <w:numId w:val="2"/>
              </w:numPr>
              <w:rPr>
                <w:rFonts w:ascii="Times New Roman" w:hAnsi="Times New Roman" w:cs="Times New Roman"/>
              </w:rPr>
            </w:pPr>
            <w:r w:rsidRPr="004E3EFE">
              <w:rPr>
                <w:rFonts w:ascii="Times New Roman" w:hAnsi="Times New Roman" w:cs="Times New Roman"/>
              </w:rPr>
              <w:t xml:space="preserve">No estimation </w:t>
            </w:r>
            <w:r w:rsidR="00BA5AF0" w:rsidRPr="004E3EFE">
              <w:rPr>
                <w:rFonts w:ascii="Times New Roman" w:hAnsi="Times New Roman" w:cs="Times New Roman"/>
              </w:rPr>
              <w:t>or coordinates based on descriptions</w:t>
            </w:r>
          </w:p>
        </w:tc>
      </w:tr>
      <w:tr w:rsidR="00103E65" w14:paraId="456F0E30" w14:textId="77777777" w:rsidTr="004E3EFE">
        <w:tc>
          <w:tcPr>
            <w:tcW w:w="2159" w:type="dxa"/>
          </w:tcPr>
          <w:p w14:paraId="3304F9CC" w14:textId="35E813FA" w:rsidR="00103E65" w:rsidRPr="004E3EFE" w:rsidRDefault="00BA5AF0">
            <w:pPr>
              <w:rPr>
                <w:rFonts w:ascii="Times New Roman" w:hAnsi="Times New Roman" w:cs="Times New Roman"/>
              </w:rPr>
            </w:pPr>
            <w:r w:rsidRPr="004E3EFE">
              <w:rPr>
                <w:rFonts w:ascii="Times New Roman" w:hAnsi="Times New Roman" w:cs="Times New Roman"/>
              </w:rPr>
              <w:t>Sampling bias</w:t>
            </w:r>
          </w:p>
        </w:tc>
        <w:tc>
          <w:tcPr>
            <w:tcW w:w="1762" w:type="dxa"/>
          </w:tcPr>
          <w:p w14:paraId="60EFD748" w14:textId="14286E76" w:rsidR="00103E65" w:rsidRPr="004E3EFE" w:rsidRDefault="00BA5AF0">
            <w:pPr>
              <w:rPr>
                <w:rFonts w:ascii="Times New Roman" w:hAnsi="Times New Roman" w:cs="Times New Roman"/>
              </w:rPr>
            </w:pPr>
            <w:r w:rsidRPr="004E3EFE">
              <w:rPr>
                <w:rFonts w:ascii="Times New Roman" w:hAnsi="Times New Roman" w:cs="Times New Roman"/>
              </w:rPr>
              <w:t>Unequal sampling of distribution may cause the model to overfit conditions associated with such samples</w:t>
            </w:r>
          </w:p>
        </w:tc>
        <w:tc>
          <w:tcPr>
            <w:tcW w:w="3454" w:type="dxa"/>
          </w:tcPr>
          <w:p w14:paraId="6C22CCA1" w14:textId="240C326D" w:rsidR="00103E65" w:rsidRPr="004E3EFE" w:rsidRDefault="00BA5AF0">
            <w:pPr>
              <w:rPr>
                <w:rFonts w:ascii="Times New Roman" w:hAnsi="Times New Roman" w:cs="Times New Roman"/>
                <w:color w:val="222222"/>
                <w:shd w:val="clear" w:color="auto" w:fill="FFFFFF"/>
              </w:rPr>
            </w:pPr>
            <w:r w:rsidRPr="004E3EFE">
              <w:rPr>
                <w:rFonts w:ascii="Times New Roman" w:hAnsi="Times New Roman" w:cs="Times New Roman"/>
                <w:color w:val="222222"/>
                <w:shd w:val="clear" w:color="auto" w:fill="FFFFFF"/>
              </w:rPr>
              <w:t>“To reduce the effects of sampling bias, we spatially filtered the occurrence dataset to ensure that no two localities were within 10 km of one another.”</w:t>
            </w:r>
          </w:p>
        </w:tc>
        <w:tc>
          <w:tcPr>
            <w:tcW w:w="2070" w:type="dxa"/>
          </w:tcPr>
          <w:p w14:paraId="0E1136C6" w14:textId="524EF3AB" w:rsidR="00233E84" w:rsidRPr="00233E84" w:rsidRDefault="00BA5AF0" w:rsidP="00233E84">
            <w:pPr>
              <w:pStyle w:val="ListParagraph"/>
              <w:numPr>
                <w:ilvl w:val="0"/>
                <w:numId w:val="2"/>
              </w:numPr>
              <w:rPr>
                <w:rFonts w:ascii="Times New Roman" w:hAnsi="Times New Roman" w:cs="Times New Roman"/>
              </w:rPr>
            </w:pPr>
            <w:r w:rsidRPr="004E3EFE">
              <w:rPr>
                <w:rFonts w:ascii="Times New Roman" w:hAnsi="Times New Roman" w:cs="Times New Roman"/>
              </w:rPr>
              <w:t>We definitely have a sampling bias</w:t>
            </w:r>
          </w:p>
        </w:tc>
      </w:tr>
      <w:tr w:rsidR="00103E65" w14:paraId="255F7955" w14:textId="77777777" w:rsidTr="004E3EFE">
        <w:tc>
          <w:tcPr>
            <w:tcW w:w="2159" w:type="dxa"/>
          </w:tcPr>
          <w:p w14:paraId="5080337C" w14:textId="4C539362" w:rsidR="00103E65" w:rsidRPr="004E3EFE" w:rsidRDefault="00BA5AF0">
            <w:pPr>
              <w:rPr>
                <w:rFonts w:ascii="Times New Roman" w:hAnsi="Times New Roman" w:cs="Times New Roman"/>
              </w:rPr>
            </w:pPr>
            <w:r w:rsidRPr="004E3EFE">
              <w:rPr>
                <w:rFonts w:ascii="Times New Roman" w:hAnsi="Times New Roman" w:cs="Times New Roman"/>
              </w:rPr>
              <w:t>Spatial autocorrelation</w:t>
            </w:r>
          </w:p>
        </w:tc>
        <w:tc>
          <w:tcPr>
            <w:tcW w:w="1762" w:type="dxa"/>
          </w:tcPr>
          <w:p w14:paraId="6143F309" w14:textId="7B811F2C" w:rsidR="00103E65" w:rsidRPr="004E3EFE" w:rsidRDefault="00BA5AF0">
            <w:pPr>
              <w:rPr>
                <w:rFonts w:ascii="Times New Roman" w:hAnsi="Times New Roman" w:cs="Times New Roman"/>
              </w:rPr>
            </w:pPr>
            <w:r w:rsidRPr="004E3EFE">
              <w:rPr>
                <w:rFonts w:ascii="Times New Roman" w:hAnsi="Times New Roman" w:cs="Times New Roman"/>
              </w:rPr>
              <w:t>Non-independent spatial distribution of occurrences</w:t>
            </w:r>
          </w:p>
        </w:tc>
        <w:tc>
          <w:tcPr>
            <w:tcW w:w="3454" w:type="dxa"/>
          </w:tcPr>
          <w:p w14:paraId="06CF9C0E" w14:textId="36095D26" w:rsidR="00103E65" w:rsidRPr="004E3EFE" w:rsidRDefault="00BA5AF0">
            <w:pPr>
              <w:rPr>
                <w:rFonts w:ascii="Times New Roman" w:hAnsi="Times New Roman" w:cs="Times New Roman"/>
                <w:color w:val="222222"/>
                <w:shd w:val="clear" w:color="auto" w:fill="FFFFFF"/>
              </w:rPr>
            </w:pPr>
            <w:r w:rsidRPr="004E3EFE">
              <w:rPr>
                <w:rFonts w:ascii="Times New Roman" w:hAnsi="Times New Roman" w:cs="Times New Roman"/>
                <w:color w:val="222222"/>
                <w:shd w:val="clear" w:color="auto" w:fill="FFFFFF"/>
              </w:rPr>
              <w:t>“In order to account for autocorrelation in the observations, models were also fitted in which contagion (see below: spatial interpolators) was included as an autocovariate term in the initial variable set (AGLM)…”</w:t>
            </w:r>
          </w:p>
        </w:tc>
        <w:tc>
          <w:tcPr>
            <w:tcW w:w="2070" w:type="dxa"/>
          </w:tcPr>
          <w:p w14:paraId="673D0FBD" w14:textId="77777777" w:rsidR="00103E65" w:rsidRDefault="00BA5AF0" w:rsidP="00103E65">
            <w:pPr>
              <w:pStyle w:val="ListParagraph"/>
              <w:numPr>
                <w:ilvl w:val="0"/>
                <w:numId w:val="2"/>
              </w:numPr>
              <w:rPr>
                <w:rFonts w:ascii="Times New Roman" w:hAnsi="Times New Roman" w:cs="Times New Roman"/>
              </w:rPr>
            </w:pPr>
            <w:r w:rsidRPr="004E3EFE">
              <w:rPr>
                <w:rFonts w:ascii="Times New Roman" w:hAnsi="Times New Roman" w:cs="Times New Roman"/>
              </w:rPr>
              <w:t>We can try to account for this</w:t>
            </w:r>
          </w:p>
          <w:p w14:paraId="65A27B42" w14:textId="434165E5" w:rsidR="00233E84" w:rsidRPr="004E3EFE" w:rsidRDefault="00233E84" w:rsidP="00103E65">
            <w:pPr>
              <w:pStyle w:val="ListParagraph"/>
              <w:numPr>
                <w:ilvl w:val="0"/>
                <w:numId w:val="2"/>
              </w:numPr>
              <w:rPr>
                <w:rFonts w:ascii="Times New Roman" w:hAnsi="Times New Roman" w:cs="Times New Roman"/>
              </w:rPr>
            </w:pPr>
            <w:r>
              <w:rPr>
                <w:rFonts w:ascii="Times New Roman" w:hAnsi="Times New Roman" w:cs="Times New Roman"/>
                <w:color w:val="4472C4" w:themeColor="accent1"/>
              </w:rPr>
              <w:t>I’m a little confused about what this means!</w:t>
            </w:r>
          </w:p>
        </w:tc>
      </w:tr>
    </w:tbl>
    <w:p w14:paraId="1585C34B" w14:textId="0CE08E50" w:rsidR="006A47A2" w:rsidRDefault="006A47A2"/>
    <w:p w14:paraId="2D6F3564" w14:textId="77777777" w:rsidR="000B50C8" w:rsidRDefault="000B50C8"/>
    <w:p w14:paraId="00294C6B" w14:textId="1B085ECD" w:rsidR="007A6D23" w:rsidRPr="000B50C8" w:rsidRDefault="007A6D23">
      <w:pPr>
        <w:rPr>
          <w:b/>
          <w:bCs/>
          <w:u w:val="single"/>
        </w:rPr>
      </w:pPr>
      <w:r w:rsidRPr="000B50C8">
        <w:rPr>
          <w:b/>
          <w:bCs/>
          <w:u w:val="single"/>
        </w:rPr>
        <w:lastRenderedPageBreak/>
        <w:t>Environmental Data</w:t>
      </w:r>
    </w:p>
    <w:tbl>
      <w:tblPr>
        <w:tblStyle w:val="TableGrid"/>
        <w:tblW w:w="0" w:type="auto"/>
        <w:tblLook w:val="04A0" w:firstRow="1" w:lastRow="0" w:firstColumn="1" w:lastColumn="0" w:noHBand="0" w:noVBand="1"/>
      </w:tblPr>
      <w:tblGrid>
        <w:gridCol w:w="1165"/>
        <w:gridCol w:w="2430"/>
        <w:gridCol w:w="4320"/>
        <w:gridCol w:w="1435"/>
      </w:tblGrid>
      <w:tr w:rsidR="007A6D23" w14:paraId="7DE09C33" w14:textId="77777777" w:rsidTr="000B50C8">
        <w:tc>
          <w:tcPr>
            <w:tcW w:w="1165" w:type="dxa"/>
          </w:tcPr>
          <w:p w14:paraId="77364AB2" w14:textId="352A1B4F" w:rsidR="007A6D23" w:rsidRPr="000B50C8" w:rsidRDefault="007A6D23">
            <w:pPr>
              <w:rPr>
                <w:rFonts w:ascii="Times New Roman" w:hAnsi="Times New Roman" w:cs="Times New Roman"/>
              </w:rPr>
            </w:pPr>
            <w:r w:rsidRPr="000B50C8">
              <w:rPr>
                <w:rFonts w:ascii="Times New Roman" w:hAnsi="Times New Roman" w:cs="Times New Roman"/>
              </w:rPr>
              <w:t>Source</w:t>
            </w:r>
          </w:p>
        </w:tc>
        <w:tc>
          <w:tcPr>
            <w:tcW w:w="2430" w:type="dxa"/>
          </w:tcPr>
          <w:p w14:paraId="78DC73AA" w14:textId="4CFE6FFE" w:rsidR="007A6D23" w:rsidRPr="000B50C8" w:rsidRDefault="007A6D23">
            <w:pPr>
              <w:rPr>
                <w:rFonts w:ascii="Times New Roman" w:hAnsi="Times New Roman" w:cs="Times New Roman"/>
              </w:rPr>
            </w:pPr>
            <w:r w:rsidRPr="000B50C8">
              <w:rPr>
                <w:rFonts w:ascii="Times New Roman" w:hAnsi="Times New Roman" w:cs="Times New Roman"/>
              </w:rPr>
              <w:t xml:space="preserve">Reporting the source of environmental data </w:t>
            </w:r>
          </w:p>
        </w:tc>
        <w:tc>
          <w:tcPr>
            <w:tcW w:w="4320" w:type="dxa"/>
          </w:tcPr>
          <w:p w14:paraId="3C4E3B44" w14:textId="317F34D7" w:rsidR="007A6D23" w:rsidRPr="000B50C8" w:rsidRDefault="007A6D23">
            <w:pPr>
              <w:rPr>
                <w:rFonts w:ascii="Times New Roman" w:hAnsi="Times New Roman" w:cs="Times New Roman"/>
              </w:rPr>
            </w:pPr>
            <w:r w:rsidRPr="000B50C8">
              <w:rPr>
                <w:rFonts w:ascii="Times New Roman" w:hAnsi="Times New Roman" w:cs="Times New Roman"/>
                <w:color w:val="222222"/>
                <w:shd w:val="clear" w:color="auto" w:fill="FFFFFF"/>
              </w:rPr>
              <w:t>“Climate data comprised the 19 BIOCLIM variables available from WorldClim (Hijmans et al., 2005) at a resolution of 2.5 arc-min. Elevation data were obtained from the Digital Elevation Model at PRISM (Precipitation-elevation Regressions on Independent Slopes Model; Daly et al., 1994) at 2.5 arc-min resolution.</w:t>
            </w:r>
          </w:p>
        </w:tc>
        <w:tc>
          <w:tcPr>
            <w:tcW w:w="1435" w:type="dxa"/>
          </w:tcPr>
          <w:p w14:paraId="02434F42" w14:textId="77777777" w:rsidR="007A6D23" w:rsidRDefault="000B50C8">
            <w:pPr>
              <w:rPr>
                <w:rFonts w:ascii="Times New Roman" w:hAnsi="Times New Roman" w:cs="Times New Roman"/>
              </w:rPr>
            </w:pPr>
            <w:r w:rsidRPr="000B50C8">
              <w:rPr>
                <w:rFonts w:ascii="Times New Roman" w:hAnsi="Times New Roman" w:cs="Times New Roman"/>
              </w:rPr>
              <w:t>-We will report this</w:t>
            </w:r>
          </w:p>
          <w:p w14:paraId="204478F2" w14:textId="5925C8CD" w:rsidR="00630CD9" w:rsidRPr="00630CD9" w:rsidRDefault="00630CD9">
            <w:pPr>
              <w:rPr>
                <w:rFonts w:ascii="Times New Roman" w:hAnsi="Times New Roman" w:cs="Times New Roman"/>
                <w:color w:val="4472C4" w:themeColor="accent1"/>
              </w:rPr>
            </w:pPr>
            <w:r>
              <w:rPr>
                <w:rFonts w:ascii="Times New Roman" w:hAnsi="Times New Roman" w:cs="Times New Roman"/>
                <w:color w:val="4472C4" w:themeColor="accent1"/>
              </w:rPr>
              <w:t>- Climate data comprised of the 19 BIOCLIM variables at a resolution of 0.5 arc-min</w:t>
            </w:r>
          </w:p>
        </w:tc>
      </w:tr>
      <w:tr w:rsidR="007A6D23" w14:paraId="092125CA" w14:textId="77777777" w:rsidTr="000B50C8">
        <w:tc>
          <w:tcPr>
            <w:tcW w:w="1165" w:type="dxa"/>
          </w:tcPr>
          <w:p w14:paraId="2CD54AE3" w14:textId="701902A7" w:rsidR="007A6D23" w:rsidRPr="000B50C8" w:rsidRDefault="000B50C8">
            <w:pPr>
              <w:rPr>
                <w:rFonts w:ascii="Times New Roman" w:hAnsi="Times New Roman" w:cs="Times New Roman"/>
              </w:rPr>
            </w:pPr>
            <w:r w:rsidRPr="000B50C8">
              <w:rPr>
                <w:rFonts w:ascii="Times New Roman" w:hAnsi="Times New Roman" w:cs="Times New Roman"/>
              </w:rPr>
              <w:t>Download date; version of data source</w:t>
            </w:r>
          </w:p>
        </w:tc>
        <w:tc>
          <w:tcPr>
            <w:tcW w:w="2430" w:type="dxa"/>
          </w:tcPr>
          <w:p w14:paraId="0DA6B1C5" w14:textId="59A80B95" w:rsidR="007A6D23" w:rsidRPr="000B50C8" w:rsidRDefault="000B50C8">
            <w:pPr>
              <w:rPr>
                <w:rFonts w:ascii="Times New Roman" w:hAnsi="Times New Roman" w:cs="Times New Roman"/>
              </w:rPr>
            </w:pPr>
            <w:r w:rsidRPr="000B50C8">
              <w:rPr>
                <w:rFonts w:ascii="Times New Roman" w:hAnsi="Times New Roman" w:cs="Times New Roman"/>
                <w:color w:val="222222"/>
                <w:shd w:val="clear" w:color="auto" w:fill="FFFFFF"/>
              </w:rPr>
              <w:t>Data and databases are not static — they change over time.</w:t>
            </w:r>
          </w:p>
        </w:tc>
        <w:tc>
          <w:tcPr>
            <w:tcW w:w="4320" w:type="dxa"/>
          </w:tcPr>
          <w:p w14:paraId="4EFE9B19" w14:textId="36CBF34F" w:rsidR="007A6D23" w:rsidRPr="000B50C8" w:rsidRDefault="000B50C8">
            <w:pPr>
              <w:rPr>
                <w:rFonts w:ascii="Times New Roman" w:hAnsi="Times New Roman" w:cs="Times New Roman"/>
              </w:rPr>
            </w:pPr>
            <w:r w:rsidRPr="000B50C8">
              <w:rPr>
                <w:rFonts w:ascii="Times New Roman" w:hAnsi="Times New Roman" w:cs="Times New Roman"/>
              </w:rPr>
              <w:t>“</w:t>
            </w:r>
            <w:r w:rsidRPr="000B50C8">
              <w:rPr>
                <w:rFonts w:ascii="Times New Roman" w:hAnsi="Times New Roman" w:cs="Times New Roman"/>
                <w:color w:val="222222"/>
                <w:shd w:val="clear" w:color="auto" w:fill="FFFFFF"/>
              </w:rPr>
              <w:t>“Out of the available WorldClim data (</w:t>
            </w:r>
            <w:hyperlink r:id="rId8" w:history="1">
              <w:r w:rsidRPr="000B50C8">
                <w:rPr>
                  <w:rStyle w:val="Hyperlink"/>
                  <w:rFonts w:ascii="Times New Roman" w:hAnsi="Times New Roman" w:cs="Times New Roman"/>
                  <w:color w:val="006699"/>
                  <w:shd w:val="clear" w:color="auto" w:fill="FFFFFF"/>
                </w:rPr>
                <w:t>http://www.worldclim.org</w:t>
              </w:r>
            </w:hyperlink>
            <w:r w:rsidRPr="000B50C8">
              <w:rPr>
                <w:rFonts w:ascii="Times New Roman" w:hAnsi="Times New Roman" w:cs="Times New Roman"/>
                <w:color w:val="222222"/>
                <w:shd w:val="clear" w:color="auto" w:fill="FFFFFF"/>
              </w:rPr>
              <w:t>), we used the 19 bioclimatic variables, which express 11 temperature and 8 precipitation metrics at about 1-km resolution (WorldClim version 1.4)”</w:t>
            </w:r>
          </w:p>
        </w:tc>
        <w:tc>
          <w:tcPr>
            <w:tcW w:w="1435" w:type="dxa"/>
          </w:tcPr>
          <w:p w14:paraId="1890E155" w14:textId="47E8BEDB" w:rsidR="007A6D23" w:rsidRPr="000B50C8" w:rsidRDefault="000B50C8">
            <w:pPr>
              <w:rPr>
                <w:rFonts w:ascii="Times New Roman" w:hAnsi="Times New Roman" w:cs="Times New Roman"/>
              </w:rPr>
            </w:pPr>
            <w:r w:rsidRPr="000B50C8">
              <w:rPr>
                <w:rFonts w:ascii="Times New Roman" w:hAnsi="Times New Roman" w:cs="Times New Roman"/>
              </w:rPr>
              <w:t>-We can do this</w:t>
            </w:r>
          </w:p>
        </w:tc>
      </w:tr>
      <w:tr w:rsidR="007A6D23" w14:paraId="0CE360B4" w14:textId="77777777" w:rsidTr="000B50C8">
        <w:tc>
          <w:tcPr>
            <w:tcW w:w="1165" w:type="dxa"/>
          </w:tcPr>
          <w:p w14:paraId="57B37ACB" w14:textId="0002B92C" w:rsidR="007A6D23" w:rsidRPr="000B50C8" w:rsidRDefault="000B50C8">
            <w:pPr>
              <w:rPr>
                <w:rFonts w:ascii="Times New Roman" w:hAnsi="Times New Roman" w:cs="Times New Roman"/>
              </w:rPr>
            </w:pPr>
            <w:r w:rsidRPr="000B50C8">
              <w:rPr>
                <w:rFonts w:ascii="Times New Roman" w:hAnsi="Times New Roman" w:cs="Times New Roman"/>
              </w:rPr>
              <w:t>Spatial resolution</w:t>
            </w:r>
          </w:p>
        </w:tc>
        <w:tc>
          <w:tcPr>
            <w:tcW w:w="2430" w:type="dxa"/>
          </w:tcPr>
          <w:p w14:paraId="1B7A915E" w14:textId="5A1BF8B1" w:rsidR="007A6D23" w:rsidRPr="000B50C8" w:rsidRDefault="000B50C8">
            <w:pPr>
              <w:rPr>
                <w:rFonts w:ascii="Times New Roman" w:hAnsi="Times New Roman" w:cs="Times New Roman"/>
              </w:rPr>
            </w:pPr>
            <w:r w:rsidRPr="000B50C8">
              <w:rPr>
                <w:rFonts w:ascii="Times New Roman" w:hAnsi="Times New Roman" w:cs="Times New Roman"/>
                <w:color w:val="222222"/>
                <w:shd w:val="clear" w:color="auto" w:fill="FFFFFF"/>
              </w:rPr>
              <w:t>Environmental data usually have various spatial resolutions that need to be reconciled for model training. Also, the decision of spatial resolution is both a technical and an ecological issue.</w:t>
            </w:r>
          </w:p>
        </w:tc>
        <w:tc>
          <w:tcPr>
            <w:tcW w:w="4320" w:type="dxa"/>
          </w:tcPr>
          <w:p w14:paraId="482791E6" w14:textId="2467BD9F" w:rsidR="007A6D23" w:rsidRPr="000B50C8" w:rsidRDefault="000B50C8">
            <w:pPr>
              <w:rPr>
                <w:rFonts w:ascii="Times New Roman" w:hAnsi="Times New Roman" w:cs="Times New Roman"/>
              </w:rPr>
            </w:pPr>
            <w:r w:rsidRPr="000B50C8">
              <w:rPr>
                <w:rFonts w:ascii="Times New Roman" w:hAnsi="Times New Roman" w:cs="Times New Roman"/>
                <w:color w:val="222222"/>
                <w:shd w:val="clear" w:color="auto" w:fill="FFFFFF"/>
              </w:rPr>
              <w:t>“Four static variables were derived from the digital elevation model (DEM) of the EMODnet Bathymetry portal: depth (the DEM); slope and curvature, calculated using DEM Surface Tools for ArcGIS 10.2; distance to the nearest 200 m bathymetric line, calculated using QGis 2.12. Curvature was used as a proxy of sea bottom roughness, providing an estimate of sea floor relief, which can influence some cetacean species (Lindsay et al., 2016). All static variables were calculated at a spatial resolution of 0.5 × 0.5 km.”</w:t>
            </w:r>
          </w:p>
        </w:tc>
        <w:tc>
          <w:tcPr>
            <w:tcW w:w="1435" w:type="dxa"/>
          </w:tcPr>
          <w:p w14:paraId="3114FAB9" w14:textId="1C3057D7" w:rsidR="007A6D23" w:rsidRPr="00630CD9" w:rsidRDefault="00630CD9">
            <w:pPr>
              <w:rPr>
                <w:rFonts w:ascii="Times New Roman" w:hAnsi="Times New Roman" w:cs="Times New Roman"/>
                <w:color w:val="4472C4" w:themeColor="accent1"/>
              </w:rPr>
            </w:pPr>
            <w:r>
              <w:rPr>
                <w:rFonts w:ascii="Times New Roman" w:hAnsi="Times New Roman" w:cs="Times New Roman"/>
                <w:color w:val="4472C4" w:themeColor="accent1"/>
              </w:rPr>
              <w:t>- Is the spatial resolution not just the 0.5 arc-min? That converts to ~1 x 1 km</w:t>
            </w:r>
          </w:p>
        </w:tc>
      </w:tr>
      <w:tr w:rsidR="007A6D23" w14:paraId="1D17E849" w14:textId="77777777" w:rsidTr="000B50C8">
        <w:tc>
          <w:tcPr>
            <w:tcW w:w="1165" w:type="dxa"/>
          </w:tcPr>
          <w:p w14:paraId="0A019689" w14:textId="013A38DD" w:rsidR="007A6D23" w:rsidRPr="000B50C8" w:rsidRDefault="000B50C8">
            <w:pPr>
              <w:rPr>
                <w:rFonts w:ascii="Times New Roman" w:hAnsi="Times New Roman" w:cs="Times New Roman"/>
              </w:rPr>
            </w:pPr>
            <w:r w:rsidRPr="000B50C8">
              <w:rPr>
                <w:rFonts w:ascii="Times New Roman" w:hAnsi="Times New Roman" w:cs="Times New Roman"/>
              </w:rPr>
              <w:t>Temporal range</w:t>
            </w:r>
          </w:p>
        </w:tc>
        <w:tc>
          <w:tcPr>
            <w:tcW w:w="2430" w:type="dxa"/>
          </w:tcPr>
          <w:p w14:paraId="79F8C1A2" w14:textId="31A41AC7" w:rsidR="007A6D23" w:rsidRPr="000B50C8" w:rsidRDefault="000B50C8">
            <w:pPr>
              <w:rPr>
                <w:rFonts w:ascii="Times New Roman" w:hAnsi="Times New Roman" w:cs="Times New Roman"/>
              </w:rPr>
            </w:pPr>
            <w:r w:rsidRPr="000B50C8">
              <w:rPr>
                <w:rFonts w:ascii="Times New Roman" w:hAnsi="Times New Roman" w:cs="Times New Roman"/>
                <w:color w:val="222222"/>
                <w:shd w:val="clear" w:color="auto" w:fill="FFFFFF"/>
              </w:rPr>
              <w:t>The temporal range (time period across which the variable was measured and averaged) is needed to determine the temporal match or mismatch with species’ occurrences</w:t>
            </w:r>
          </w:p>
        </w:tc>
        <w:tc>
          <w:tcPr>
            <w:tcW w:w="4320" w:type="dxa"/>
          </w:tcPr>
          <w:p w14:paraId="57296913" w14:textId="638111BC" w:rsidR="007A6D23" w:rsidRPr="000B50C8" w:rsidRDefault="000B50C8">
            <w:pPr>
              <w:rPr>
                <w:rFonts w:ascii="Times New Roman" w:hAnsi="Times New Roman" w:cs="Times New Roman"/>
              </w:rPr>
            </w:pPr>
            <w:r w:rsidRPr="000B50C8">
              <w:rPr>
                <w:rFonts w:ascii="Times New Roman" w:hAnsi="Times New Roman" w:cs="Times New Roman"/>
                <w:color w:val="222222"/>
                <w:shd w:val="clear" w:color="auto" w:fill="FFFFFF"/>
              </w:rPr>
              <w:t>“We summarized occurrence of passerine bird species at BBS routes in the conterminous U.S. during historical (1977–1979) and recent (2012–2014) periods. Land use covariates were the proportion of the buffer surrounding each route in developed and conservation or low human use classes based on the 1974 and 2012 versions of the U.S. conterminous wall-to-wall anthropogenic land use trends dataset (NWALT; Falcone, 2015).”</w:t>
            </w:r>
          </w:p>
        </w:tc>
        <w:tc>
          <w:tcPr>
            <w:tcW w:w="1435" w:type="dxa"/>
          </w:tcPr>
          <w:p w14:paraId="6AB0D63E" w14:textId="6DFB5766" w:rsidR="007A6D23" w:rsidRPr="00630CD9" w:rsidRDefault="00630CD9">
            <w:pPr>
              <w:rPr>
                <w:rFonts w:ascii="Times New Roman" w:hAnsi="Times New Roman" w:cs="Times New Roman"/>
                <w:color w:val="4472C4" w:themeColor="accent1"/>
              </w:rPr>
            </w:pPr>
            <w:r>
              <w:rPr>
                <w:rFonts w:ascii="Times New Roman" w:hAnsi="Times New Roman" w:cs="Times New Roman"/>
                <w:color w:val="4472C4" w:themeColor="accent1"/>
              </w:rPr>
              <w:t>- The bioclim variables are from August 2020</w:t>
            </w:r>
          </w:p>
        </w:tc>
      </w:tr>
    </w:tbl>
    <w:p w14:paraId="2B29A236" w14:textId="18DBCCD5" w:rsidR="007A6D23" w:rsidRDefault="007A6D23"/>
    <w:p w14:paraId="434DB60F" w14:textId="174E3D83" w:rsidR="008D548E" w:rsidRDefault="008D548E"/>
    <w:p w14:paraId="2F9A78D2" w14:textId="5419ECE6" w:rsidR="008D548E" w:rsidRDefault="008D548E"/>
    <w:p w14:paraId="01A220E1" w14:textId="43D40BBD" w:rsidR="008D548E" w:rsidRDefault="008D548E"/>
    <w:p w14:paraId="38D32DC0" w14:textId="188EE6C2" w:rsidR="008D548E" w:rsidRDefault="008D548E"/>
    <w:p w14:paraId="3D37694F" w14:textId="11CFC475" w:rsidR="008D548E" w:rsidRDefault="008D548E"/>
    <w:p w14:paraId="2E4E6718" w14:textId="276CAF81" w:rsidR="008D548E" w:rsidRDefault="008D548E"/>
    <w:p w14:paraId="0F95C261" w14:textId="304A8362" w:rsidR="008D548E" w:rsidRPr="008D548E" w:rsidRDefault="008D548E">
      <w:pPr>
        <w:rPr>
          <w:b/>
          <w:bCs/>
          <w:u w:val="single"/>
        </w:rPr>
      </w:pPr>
      <w:r w:rsidRPr="008D548E">
        <w:rPr>
          <w:b/>
          <w:bCs/>
          <w:u w:val="single"/>
        </w:rPr>
        <w:t>Model calibration</w:t>
      </w:r>
    </w:p>
    <w:tbl>
      <w:tblPr>
        <w:tblStyle w:val="TableGrid"/>
        <w:tblW w:w="0" w:type="auto"/>
        <w:tblLook w:val="04A0" w:firstRow="1" w:lastRow="0" w:firstColumn="1" w:lastColumn="0" w:noHBand="0" w:noVBand="1"/>
      </w:tblPr>
      <w:tblGrid>
        <w:gridCol w:w="1707"/>
        <w:gridCol w:w="1888"/>
        <w:gridCol w:w="4230"/>
        <w:gridCol w:w="1525"/>
      </w:tblGrid>
      <w:tr w:rsidR="008D548E" w14:paraId="49CF8492" w14:textId="77777777" w:rsidTr="00630CD9">
        <w:tc>
          <w:tcPr>
            <w:tcW w:w="1707" w:type="dxa"/>
          </w:tcPr>
          <w:p w14:paraId="7708C942" w14:textId="23C543F7" w:rsidR="008D548E" w:rsidRPr="00D51831" w:rsidRDefault="008D548E">
            <w:pPr>
              <w:rPr>
                <w:rFonts w:ascii="Times New Roman" w:hAnsi="Times New Roman" w:cs="Times New Roman"/>
              </w:rPr>
            </w:pPr>
            <w:r w:rsidRPr="00D51831">
              <w:rPr>
                <w:rFonts w:ascii="Times New Roman" w:hAnsi="Times New Roman" w:cs="Times New Roman"/>
              </w:rPr>
              <w:t>Modeling domain</w:t>
            </w:r>
          </w:p>
        </w:tc>
        <w:tc>
          <w:tcPr>
            <w:tcW w:w="1888" w:type="dxa"/>
          </w:tcPr>
          <w:p w14:paraId="271DDDCB" w14:textId="658F2A81" w:rsidR="008D548E" w:rsidRPr="00D51831" w:rsidRDefault="008D548E">
            <w:pPr>
              <w:rPr>
                <w:rFonts w:ascii="Times New Roman" w:hAnsi="Times New Roman" w:cs="Times New Roman"/>
              </w:rPr>
            </w:pPr>
            <w:r w:rsidRPr="00D51831">
              <w:rPr>
                <w:rFonts w:ascii="Times New Roman" w:hAnsi="Times New Roman" w:cs="Times New Roman"/>
              </w:rPr>
              <w:t xml:space="preserve">The geographic domain of a model has to be specified </w:t>
            </w:r>
          </w:p>
        </w:tc>
        <w:tc>
          <w:tcPr>
            <w:tcW w:w="4230" w:type="dxa"/>
          </w:tcPr>
          <w:p w14:paraId="3FD26F1E" w14:textId="617F1F03" w:rsidR="008D548E" w:rsidRPr="00D51831" w:rsidRDefault="008D548E">
            <w:pPr>
              <w:rPr>
                <w:rFonts w:ascii="Times New Roman" w:hAnsi="Times New Roman" w:cs="Times New Roman"/>
              </w:rPr>
            </w:pPr>
            <w:r w:rsidRPr="00D51831">
              <w:rPr>
                <w:rFonts w:ascii="Times New Roman" w:hAnsi="Times New Roman" w:cs="Times New Roman"/>
                <w:color w:val="222222"/>
                <w:shd w:val="clear" w:color="auto" w:fill="FFFFFF"/>
              </w:rPr>
              <w:t>“In the second approach, locality data were overlaid on terrain base maps in ArcGIS 10.2 (Environmental Systems Research Institute, 2011) together with a world ecoregions layer. These were used to identify breaks in habitat and ecological regions in topographically homogeneous areas. [...] Restricting calibration areas to regions bounded by significant abiotic barriers and known or hypothesized dispersal distances yielded more accurate models and reduced these errors Thus, in our study, Ms were constrained by deep valleys, the crests of mountains (and ~other distinct features likely to act as barriers to species distributions”</w:t>
            </w:r>
          </w:p>
        </w:tc>
        <w:tc>
          <w:tcPr>
            <w:tcW w:w="1525" w:type="dxa"/>
          </w:tcPr>
          <w:p w14:paraId="06FD987C" w14:textId="3277B835" w:rsidR="008D548E" w:rsidRPr="00630CD9" w:rsidRDefault="00630CD9">
            <w:pPr>
              <w:rPr>
                <w:rFonts w:ascii="Times New Roman" w:hAnsi="Times New Roman" w:cs="Times New Roman"/>
                <w:color w:val="4472C4" w:themeColor="accent1"/>
              </w:rPr>
            </w:pPr>
            <w:r>
              <w:rPr>
                <w:rFonts w:ascii="Times New Roman" w:hAnsi="Times New Roman" w:cs="Times New Roman"/>
                <w:color w:val="4472C4" w:themeColor="accent1"/>
              </w:rPr>
              <w:t>- Nothing like terrain base maps was used</w:t>
            </w:r>
          </w:p>
        </w:tc>
      </w:tr>
      <w:tr w:rsidR="008D548E" w14:paraId="3B7E7602" w14:textId="77777777" w:rsidTr="00630CD9">
        <w:tc>
          <w:tcPr>
            <w:tcW w:w="1707" w:type="dxa"/>
          </w:tcPr>
          <w:p w14:paraId="391D9F5E" w14:textId="6AA05DA9" w:rsidR="008D548E" w:rsidRPr="00D51831" w:rsidRDefault="008D548E">
            <w:pPr>
              <w:rPr>
                <w:rFonts w:ascii="Times New Roman" w:hAnsi="Times New Roman" w:cs="Times New Roman"/>
              </w:rPr>
            </w:pPr>
            <w:r w:rsidRPr="00D51831">
              <w:rPr>
                <w:rFonts w:ascii="Times New Roman" w:hAnsi="Times New Roman" w:cs="Times New Roman"/>
              </w:rPr>
              <w:t>Number of background data</w:t>
            </w:r>
          </w:p>
        </w:tc>
        <w:tc>
          <w:tcPr>
            <w:tcW w:w="1888" w:type="dxa"/>
          </w:tcPr>
          <w:p w14:paraId="4077BA2E" w14:textId="650D145C" w:rsidR="008D548E" w:rsidRPr="00D51831" w:rsidRDefault="008D548E">
            <w:pPr>
              <w:rPr>
                <w:rFonts w:ascii="Times New Roman" w:hAnsi="Times New Roman" w:cs="Times New Roman"/>
              </w:rPr>
            </w:pPr>
            <w:r w:rsidRPr="00D51831">
              <w:rPr>
                <w:rFonts w:ascii="Times New Roman" w:hAnsi="Times New Roman" w:cs="Times New Roman"/>
                <w:color w:val="222222"/>
                <w:shd w:val="clear" w:color="auto" w:fill="FFFFFF"/>
              </w:rPr>
              <w:t>Background data are assumed to represent the environmental composition of species’ accessible area, thus the optimal number of background data may depend on the extent of the study area and resolution of environmental data, as well as computation capacity.</w:t>
            </w:r>
          </w:p>
        </w:tc>
        <w:tc>
          <w:tcPr>
            <w:tcW w:w="4230" w:type="dxa"/>
          </w:tcPr>
          <w:p w14:paraId="4C2E592B" w14:textId="58DA3755" w:rsidR="008D548E" w:rsidRPr="00D51831" w:rsidRDefault="008D548E">
            <w:pPr>
              <w:rPr>
                <w:rFonts w:ascii="Times New Roman" w:hAnsi="Times New Roman" w:cs="Times New Roman"/>
              </w:rPr>
            </w:pPr>
            <w:r w:rsidRPr="00D51831">
              <w:rPr>
                <w:rFonts w:ascii="Times New Roman" w:hAnsi="Times New Roman" w:cs="Times New Roman"/>
                <w:color w:val="222222"/>
                <w:shd w:val="clear" w:color="auto" w:fill="FFFFFF"/>
              </w:rPr>
              <w:t>“For each geographical background we selected 10,000 random cells that did not hold a species presence record (or all available cells if fewer than 10,000 were available).”</w:t>
            </w:r>
          </w:p>
        </w:tc>
        <w:tc>
          <w:tcPr>
            <w:tcW w:w="1525" w:type="dxa"/>
          </w:tcPr>
          <w:p w14:paraId="291F9406" w14:textId="08DE8283" w:rsidR="008D548E" w:rsidRPr="00630CD9" w:rsidRDefault="00630CD9">
            <w:pPr>
              <w:rPr>
                <w:rFonts w:ascii="Times New Roman" w:hAnsi="Times New Roman" w:cs="Times New Roman"/>
                <w:color w:val="4472C4" w:themeColor="accent1"/>
              </w:rPr>
            </w:pPr>
            <w:r>
              <w:rPr>
                <w:rFonts w:ascii="Times New Roman" w:hAnsi="Times New Roman" w:cs="Times New Roman"/>
                <w:color w:val="4472C4" w:themeColor="accent1"/>
              </w:rPr>
              <w:t>- For each species, the background points are the points from all the other species</w:t>
            </w:r>
          </w:p>
        </w:tc>
      </w:tr>
      <w:tr w:rsidR="008D548E" w14:paraId="54B2ADDB" w14:textId="77777777" w:rsidTr="00630CD9">
        <w:tc>
          <w:tcPr>
            <w:tcW w:w="1707" w:type="dxa"/>
          </w:tcPr>
          <w:p w14:paraId="7D81FDAB" w14:textId="088C87AA" w:rsidR="008D548E" w:rsidRPr="00D51831" w:rsidRDefault="008D548E">
            <w:pPr>
              <w:rPr>
                <w:rFonts w:ascii="Times New Roman" w:hAnsi="Times New Roman" w:cs="Times New Roman"/>
              </w:rPr>
            </w:pPr>
            <w:r w:rsidRPr="00D51831">
              <w:rPr>
                <w:rFonts w:ascii="Times New Roman" w:hAnsi="Times New Roman" w:cs="Times New Roman"/>
              </w:rPr>
              <w:t>Sampling method for background data</w:t>
            </w:r>
          </w:p>
        </w:tc>
        <w:tc>
          <w:tcPr>
            <w:tcW w:w="1888" w:type="dxa"/>
          </w:tcPr>
          <w:p w14:paraId="7EED8C3E" w14:textId="07061E39" w:rsidR="008D548E" w:rsidRPr="00D51831" w:rsidRDefault="00920928">
            <w:pPr>
              <w:rPr>
                <w:rFonts w:ascii="Times New Roman" w:hAnsi="Times New Roman" w:cs="Times New Roman"/>
              </w:rPr>
            </w:pPr>
            <w:r w:rsidRPr="00D51831">
              <w:rPr>
                <w:rFonts w:ascii="Times New Roman" w:hAnsi="Times New Roman" w:cs="Times New Roman"/>
                <w:color w:val="222222"/>
                <w:shd w:val="clear" w:color="auto" w:fill="FFFFFF"/>
              </w:rPr>
              <w:t>Random selection of background data has been used as the default strategy in some algorithms, but new methods have been developed for different purposes.</w:t>
            </w:r>
          </w:p>
        </w:tc>
        <w:tc>
          <w:tcPr>
            <w:tcW w:w="4230" w:type="dxa"/>
          </w:tcPr>
          <w:p w14:paraId="7A2A21ED" w14:textId="2A8D2331" w:rsidR="008D548E" w:rsidRPr="00D51831" w:rsidRDefault="00920928">
            <w:pPr>
              <w:rPr>
                <w:rFonts w:ascii="Times New Roman" w:hAnsi="Times New Roman" w:cs="Times New Roman"/>
              </w:rPr>
            </w:pPr>
            <w:r w:rsidRPr="00D51831">
              <w:rPr>
                <w:rFonts w:ascii="Times New Roman" w:hAnsi="Times New Roman" w:cs="Times New Roman"/>
                <w:color w:val="222222"/>
                <w:shd w:val="clear" w:color="auto" w:fill="FFFFFF"/>
              </w:rPr>
              <w:t>“We used Maxent with default settings, except that we applied a targeted background sampling to reduce the influence of sample selection bias (Phillips et al., 2009) by using 666 vertebrate fossil site localities throughout New Zealand as background points.”</w:t>
            </w:r>
          </w:p>
        </w:tc>
        <w:tc>
          <w:tcPr>
            <w:tcW w:w="1525" w:type="dxa"/>
          </w:tcPr>
          <w:p w14:paraId="3D648798" w14:textId="670EB55A" w:rsidR="008D548E" w:rsidRPr="00630CD9" w:rsidRDefault="00630CD9">
            <w:pPr>
              <w:rPr>
                <w:rFonts w:ascii="Times New Roman" w:hAnsi="Times New Roman" w:cs="Times New Roman"/>
                <w:color w:val="4472C4" w:themeColor="accent1"/>
              </w:rPr>
            </w:pPr>
            <w:r>
              <w:rPr>
                <w:rFonts w:ascii="Times New Roman" w:hAnsi="Times New Roman" w:cs="Times New Roman"/>
                <w:color w:val="4472C4" w:themeColor="accent1"/>
              </w:rPr>
              <w:t>- Sampling method for background data is the same as presence data, since it’s just points of other species</w:t>
            </w:r>
          </w:p>
        </w:tc>
      </w:tr>
      <w:tr w:rsidR="008D548E" w14:paraId="07E888A6" w14:textId="77777777" w:rsidTr="00630CD9">
        <w:tc>
          <w:tcPr>
            <w:tcW w:w="1707" w:type="dxa"/>
          </w:tcPr>
          <w:p w14:paraId="65C48A04" w14:textId="3263219A" w:rsidR="008D548E" w:rsidRPr="00D51831" w:rsidRDefault="00920928">
            <w:pPr>
              <w:rPr>
                <w:rFonts w:ascii="Times New Roman" w:hAnsi="Times New Roman" w:cs="Times New Roman"/>
              </w:rPr>
            </w:pPr>
            <w:r w:rsidRPr="00D51831">
              <w:rPr>
                <w:rFonts w:ascii="Times New Roman" w:hAnsi="Times New Roman" w:cs="Times New Roman"/>
              </w:rPr>
              <w:t>Variable selection</w:t>
            </w:r>
          </w:p>
        </w:tc>
        <w:tc>
          <w:tcPr>
            <w:tcW w:w="1888" w:type="dxa"/>
          </w:tcPr>
          <w:p w14:paraId="3FEFA507" w14:textId="58A05DA8" w:rsidR="008D548E" w:rsidRPr="00D51831" w:rsidRDefault="00D51831">
            <w:pPr>
              <w:rPr>
                <w:rFonts w:ascii="Times New Roman" w:hAnsi="Times New Roman" w:cs="Times New Roman"/>
              </w:rPr>
            </w:pPr>
            <w:r w:rsidRPr="00D51831">
              <w:rPr>
                <w:rFonts w:ascii="Times New Roman" w:hAnsi="Times New Roman" w:cs="Times New Roman"/>
                <w:color w:val="222222"/>
                <w:shd w:val="clear" w:color="auto" w:fill="FFFFFF"/>
              </w:rPr>
              <w:t>Selection of variables is biologically and/or statistically relevant</w:t>
            </w:r>
          </w:p>
        </w:tc>
        <w:tc>
          <w:tcPr>
            <w:tcW w:w="4230" w:type="dxa"/>
          </w:tcPr>
          <w:p w14:paraId="679AD4C2" w14:textId="147033FF" w:rsidR="008D548E" w:rsidRPr="00D51831" w:rsidRDefault="00D51831">
            <w:pPr>
              <w:rPr>
                <w:rFonts w:ascii="Times New Roman" w:hAnsi="Times New Roman" w:cs="Times New Roman"/>
              </w:rPr>
            </w:pPr>
            <w:r w:rsidRPr="00D51831">
              <w:rPr>
                <w:rFonts w:ascii="Times New Roman" w:hAnsi="Times New Roman" w:cs="Times New Roman"/>
                <w:color w:val="222222"/>
                <w:shd w:val="clear" w:color="auto" w:fill="FFFFFF"/>
              </w:rPr>
              <w:t xml:space="preserve">“Four ‘bioclimatic’ layers were used to calibrate models: mean temperature of the warmest quarter, mean temperature of the coldest quarter, precipitation of the wettest quarter, and precipitation of the driest </w:t>
            </w:r>
            <w:r w:rsidRPr="00D51831">
              <w:rPr>
                <w:rFonts w:ascii="Times New Roman" w:hAnsi="Times New Roman" w:cs="Times New Roman"/>
                <w:color w:val="222222"/>
                <w:shd w:val="clear" w:color="auto" w:fill="FFFFFF"/>
              </w:rPr>
              <w:lastRenderedPageBreak/>
              <w:t>quarter. These four layers were chosen because they represent the climatic extremes that often constrain species distributions and because most other bioclimatic layers are derived from different combinations of or are tightly correlated with these variables (Root, 1988).”</w:t>
            </w:r>
          </w:p>
        </w:tc>
        <w:tc>
          <w:tcPr>
            <w:tcW w:w="1525" w:type="dxa"/>
          </w:tcPr>
          <w:p w14:paraId="39E100CD" w14:textId="158F6916" w:rsidR="00D343C3" w:rsidRPr="00630CD9" w:rsidRDefault="00D343C3">
            <w:pPr>
              <w:rPr>
                <w:rFonts w:ascii="Times New Roman" w:hAnsi="Times New Roman" w:cs="Times New Roman"/>
                <w:color w:val="4472C4" w:themeColor="accent1"/>
              </w:rPr>
            </w:pPr>
            <w:r>
              <w:rPr>
                <w:rFonts w:ascii="Times New Roman" w:hAnsi="Times New Roman" w:cs="Times New Roman"/>
                <w:color w:val="4472C4" w:themeColor="accent1"/>
              </w:rPr>
              <w:lastRenderedPageBreak/>
              <w:t xml:space="preserve">- 4 bioclimatic layers were used: Mean Diurnal Range, </w:t>
            </w:r>
            <w:r>
              <w:rPr>
                <w:rFonts w:ascii="Times New Roman" w:hAnsi="Times New Roman" w:cs="Times New Roman"/>
                <w:color w:val="4472C4" w:themeColor="accent1"/>
              </w:rPr>
              <w:lastRenderedPageBreak/>
              <w:t>Isothermality, Temperature Annual Range, and Annual Precipitation. These were chosen because they were not tightly correlated with other variables and are important to snails.</w:t>
            </w:r>
          </w:p>
        </w:tc>
      </w:tr>
      <w:tr w:rsidR="00920928" w14:paraId="639FADC4" w14:textId="77777777" w:rsidTr="00630CD9">
        <w:tc>
          <w:tcPr>
            <w:tcW w:w="1707" w:type="dxa"/>
          </w:tcPr>
          <w:p w14:paraId="1CD62457" w14:textId="7942F128" w:rsidR="00920928" w:rsidRPr="00D51831" w:rsidRDefault="00920928">
            <w:pPr>
              <w:rPr>
                <w:rFonts w:ascii="Times New Roman" w:hAnsi="Times New Roman" w:cs="Times New Roman"/>
              </w:rPr>
            </w:pPr>
            <w:r w:rsidRPr="00D51831">
              <w:rPr>
                <w:rFonts w:ascii="Times New Roman" w:hAnsi="Times New Roman" w:cs="Times New Roman"/>
              </w:rPr>
              <w:lastRenderedPageBreak/>
              <w:t>Name</w:t>
            </w:r>
          </w:p>
        </w:tc>
        <w:tc>
          <w:tcPr>
            <w:tcW w:w="1888" w:type="dxa"/>
          </w:tcPr>
          <w:p w14:paraId="5E3CF066" w14:textId="51330676" w:rsidR="00920928" w:rsidRPr="00D51831" w:rsidRDefault="00920928">
            <w:pPr>
              <w:rPr>
                <w:rFonts w:ascii="Times New Roman" w:hAnsi="Times New Roman" w:cs="Times New Roman"/>
              </w:rPr>
            </w:pPr>
            <w:r w:rsidRPr="00D51831">
              <w:rPr>
                <w:rFonts w:ascii="Times New Roman" w:hAnsi="Times New Roman" w:cs="Times New Roman"/>
              </w:rPr>
              <w:t>Name of model</w:t>
            </w:r>
          </w:p>
        </w:tc>
        <w:tc>
          <w:tcPr>
            <w:tcW w:w="4230" w:type="dxa"/>
          </w:tcPr>
          <w:p w14:paraId="62DF6E3E" w14:textId="28EB6D9D" w:rsidR="00920928" w:rsidRPr="00D51831" w:rsidRDefault="00920928">
            <w:pPr>
              <w:rPr>
                <w:rFonts w:ascii="Times New Roman" w:hAnsi="Times New Roman" w:cs="Times New Roman"/>
              </w:rPr>
            </w:pPr>
            <w:r w:rsidRPr="00D51831">
              <w:rPr>
                <w:rFonts w:ascii="Times New Roman" w:hAnsi="Times New Roman" w:cs="Times New Roman"/>
              </w:rPr>
              <w:t>“</w:t>
            </w:r>
            <w:r w:rsidRPr="00D51831">
              <w:rPr>
                <w:rFonts w:ascii="Times New Roman" w:hAnsi="Times New Roman" w:cs="Times New Roman"/>
                <w:color w:val="222222"/>
                <w:shd w:val="clear" w:color="auto" w:fill="FFFFFF"/>
              </w:rPr>
              <w:t>ENM was performed using the maximum entropy approach as implemented in MAXENT 3.3.3k”</w:t>
            </w:r>
          </w:p>
        </w:tc>
        <w:tc>
          <w:tcPr>
            <w:tcW w:w="1525" w:type="dxa"/>
          </w:tcPr>
          <w:p w14:paraId="30951DA9" w14:textId="667A7559" w:rsidR="00920928" w:rsidRPr="00D343C3" w:rsidRDefault="00D343C3">
            <w:pPr>
              <w:rPr>
                <w:rFonts w:ascii="Times New Roman" w:hAnsi="Times New Roman" w:cs="Times New Roman"/>
                <w:color w:val="4472C4" w:themeColor="accent1"/>
              </w:rPr>
            </w:pPr>
            <w:r>
              <w:rPr>
                <w:rFonts w:ascii="Times New Roman" w:hAnsi="Times New Roman" w:cs="Times New Roman"/>
                <w:color w:val="4472C4" w:themeColor="accent1"/>
              </w:rPr>
              <w:t>- GLM implemented in the R package ENMTools</w:t>
            </w:r>
          </w:p>
        </w:tc>
      </w:tr>
      <w:tr w:rsidR="00920928" w14:paraId="05B31200" w14:textId="77777777" w:rsidTr="00630CD9">
        <w:tc>
          <w:tcPr>
            <w:tcW w:w="1707" w:type="dxa"/>
          </w:tcPr>
          <w:p w14:paraId="7FDA1C14" w14:textId="1087953D" w:rsidR="00920928" w:rsidRPr="00D51831" w:rsidRDefault="00920928">
            <w:pPr>
              <w:rPr>
                <w:rFonts w:ascii="Times New Roman" w:hAnsi="Times New Roman" w:cs="Times New Roman"/>
              </w:rPr>
            </w:pPr>
            <w:r w:rsidRPr="00D51831">
              <w:rPr>
                <w:rFonts w:ascii="Times New Roman" w:hAnsi="Times New Roman" w:cs="Times New Roman"/>
              </w:rPr>
              <w:t>Version of algorithm and software</w:t>
            </w:r>
          </w:p>
        </w:tc>
        <w:tc>
          <w:tcPr>
            <w:tcW w:w="1888" w:type="dxa"/>
          </w:tcPr>
          <w:p w14:paraId="6D743056" w14:textId="1B9F818F" w:rsidR="00920928" w:rsidRPr="00D51831" w:rsidRDefault="00920928">
            <w:pPr>
              <w:rPr>
                <w:rFonts w:ascii="Times New Roman" w:hAnsi="Times New Roman" w:cs="Times New Roman"/>
              </w:rPr>
            </w:pPr>
            <w:r w:rsidRPr="00D51831">
              <w:rPr>
                <w:rFonts w:ascii="Times New Roman" w:hAnsi="Times New Roman" w:cs="Times New Roman"/>
              </w:rPr>
              <w:t>Algorithm, settings and libraries change overtime</w:t>
            </w:r>
          </w:p>
        </w:tc>
        <w:tc>
          <w:tcPr>
            <w:tcW w:w="4230" w:type="dxa"/>
          </w:tcPr>
          <w:p w14:paraId="1D6F43DD" w14:textId="5825D443" w:rsidR="00920928" w:rsidRPr="00D51831" w:rsidRDefault="00920928">
            <w:pPr>
              <w:rPr>
                <w:rFonts w:ascii="Times New Roman" w:hAnsi="Times New Roman" w:cs="Times New Roman"/>
              </w:rPr>
            </w:pPr>
            <w:r w:rsidRPr="00D51831">
              <w:rPr>
                <w:rFonts w:ascii="Times New Roman" w:hAnsi="Times New Roman" w:cs="Times New Roman"/>
              </w:rPr>
              <w:t>“</w:t>
            </w:r>
            <w:r w:rsidRPr="00D51831">
              <w:rPr>
                <w:rFonts w:ascii="Times New Roman" w:hAnsi="Times New Roman" w:cs="Times New Roman"/>
                <w:color w:val="222222"/>
                <w:shd w:val="clear" w:color="auto" w:fill="FFFFFF"/>
              </w:rPr>
              <w:t>Folds were set at random and other parameters were left as default in the gbm R package (version 2.1.1). Runs on R version 3.3.2.”</w:t>
            </w:r>
            <w:r w:rsidRPr="00D51831">
              <w:rPr>
                <w:rFonts w:ascii="Times New Roman" w:hAnsi="Times New Roman" w:cs="Times New Roman"/>
              </w:rPr>
              <w:t xml:space="preserve"> </w:t>
            </w:r>
          </w:p>
        </w:tc>
        <w:tc>
          <w:tcPr>
            <w:tcW w:w="1525" w:type="dxa"/>
          </w:tcPr>
          <w:p w14:paraId="508B290F" w14:textId="36FADC5A" w:rsidR="00920928" w:rsidRPr="00D343C3" w:rsidRDefault="00D343C3">
            <w:pPr>
              <w:rPr>
                <w:rFonts w:ascii="Times New Roman" w:hAnsi="Times New Roman" w:cs="Times New Roman"/>
                <w:color w:val="4472C4" w:themeColor="accent1"/>
              </w:rPr>
            </w:pPr>
            <w:r>
              <w:rPr>
                <w:rFonts w:ascii="Times New Roman" w:hAnsi="Times New Roman" w:cs="Times New Roman"/>
                <w:color w:val="4472C4" w:themeColor="accent1"/>
              </w:rPr>
              <w:t>- Runs on R version 4.0.2 using the ENMTools package and the enmtools.glm command with an ENMTools species object</w:t>
            </w:r>
          </w:p>
        </w:tc>
      </w:tr>
      <w:tr w:rsidR="00D51831" w14:paraId="4A533013" w14:textId="77777777" w:rsidTr="00630CD9">
        <w:tc>
          <w:tcPr>
            <w:tcW w:w="1707" w:type="dxa"/>
          </w:tcPr>
          <w:p w14:paraId="3F64B8BC" w14:textId="45F9358E" w:rsidR="00D51831" w:rsidRPr="00D51831" w:rsidRDefault="00D51831">
            <w:pPr>
              <w:rPr>
                <w:rFonts w:ascii="Times New Roman" w:hAnsi="Times New Roman" w:cs="Times New Roman"/>
              </w:rPr>
            </w:pPr>
            <w:r w:rsidRPr="00D51831">
              <w:rPr>
                <w:rFonts w:ascii="Times New Roman" w:hAnsi="Times New Roman" w:cs="Times New Roman"/>
              </w:rPr>
              <w:t>Parameterization</w:t>
            </w:r>
          </w:p>
        </w:tc>
        <w:tc>
          <w:tcPr>
            <w:tcW w:w="1888" w:type="dxa"/>
          </w:tcPr>
          <w:p w14:paraId="160FEC13" w14:textId="2E0BBEA8" w:rsidR="00D51831" w:rsidRPr="00D51831" w:rsidRDefault="00D51831">
            <w:pPr>
              <w:rPr>
                <w:rFonts w:ascii="Times New Roman" w:hAnsi="Times New Roman" w:cs="Times New Roman"/>
              </w:rPr>
            </w:pPr>
            <w:r w:rsidRPr="00D51831">
              <w:rPr>
                <w:rFonts w:ascii="Times New Roman" w:hAnsi="Times New Roman" w:cs="Times New Roman"/>
              </w:rPr>
              <w:t>Parameter settings can influence results</w:t>
            </w:r>
          </w:p>
        </w:tc>
        <w:tc>
          <w:tcPr>
            <w:tcW w:w="4230" w:type="dxa"/>
          </w:tcPr>
          <w:p w14:paraId="7BE05E54" w14:textId="1EF46014" w:rsidR="00D51831" w:rsidRPr="00D51831" w:rsidRDefault="00D51831">
            <w:pPr>
              <w:rPr>
                <w:rFonts w:ascii="Times New Roman" w:hAnsi="Times New Roman" w:cs="Times New Roman"/>
              </w:rPr>
            </w:pPr>
            <w:r w:rsidRPr="00D51831">
              <w:rPr>
                <w:rFonts w:ascii="Times New Roman" w:hAnsi="Times New Roman" w:cs="Times New Roman"/>
                <w:color w:val="222222"/>
                <w:shd w:val="clear" w:color="auto" w:fill="FFFFFF"/>
              </w:rPr>
              <w:t>“Selecting the best settings for the regularization multipliers and number of feature classes, which determine the model complexity, requires quantitative evaluation (Merow et al., 2013). The optimal model parameters were tuned using the function ENMevaluate in the package ‘ENMeval’ (Muscarella et al., 2014) for R. Within ENMevaluate, we jackknifed each species presence record and evaluated models with the following feature classes: linear, quadratic, and hinge, and the following values of regularization multipliers: 0.75, 1, 1.25, 1.5.”</w:t>
            </w:r>
          </w:p>
        </w:tc>
        <w:tc>
          <w:tcPr>
            <w:tcW w:w="1525" w:type="dxa"/>
          </w:tcPr>
          <w:p w14:paraId="698FBD04" w14:textId="33B70BEC" w:rsidR="00D51831" w:rsidRPr="00D343C3" w:rsidRDefault="00D343C3">
            <w:pPr>
              <w:rPr>
                <w:rFonts w:ascii="Times New Roman" w:hAnsi="Times New Roman" w:cs="Times New Roman"/>
                <w:color w:val="4472C4" w:themeColor="accent1"/>
              </w:rPr>
            </w:pPr>
            <w:r>
              <w:rPr>
                <w:rFonts w:ascii="Times New Roman" w:hAnsi="Times New Roman" w:cs="Times New Roman"/>
                <w:color w:val="4472C4" w:themeColor="accent1"/>
              </w:rPr>
              <w:t>- The GLM equation includes both linear and polynomial terms to allow for more complex suitability distributions</w:t>
            </w:r>
          </w:p>
        </w:tc>
      </w:tr>
    </w:tbl>
    <w:p w14:paraId="359F23AA" w14:textId="58ABEFC7" w:rsidR="008D548E" w:rsidRDefault="008D548E"/>
    <w:p w14:paraId="5B0157D4" w14:textId="10512CE9" w:rsidR="00CB45AF" w:rsidRDefault="00CB45AF"/>
    <w:p w14:paraId="1534A7C3" w14:textId="77777777" w:rsidR="00D343C3" w:rsidRDefault="00D343C3"/>
    <w:p w14:paraId="34D461E1" w14:textId="620ABB53" w:rsidR="00CB45AF" w:rsidRPr="009B4F90" w:rsidRDefault="00CB45AF" w:rsidP="00CB45AF">
      <w:pPr>
        <w:rPr>
          <w:b/>
          <w:bCs/>
          <w:u w:val="single"/>
        </w:rPr>
      </w:pPr>
      <w:r w:rsidRPr="009B4F90">
        <w:rPr>
          <w:b/>
          <w:bCs/>
          <w:u w:val="single"/>
        </w:rPr>
        <w:lastRenderedPageBreak/>
        <w:t>Model transfer and evaluation</w:t>
      </w:r>
    </w:p>
    <w:tbl>
      <w:tblPr>
        <w:tblStyle w:val="TableGrid"/>
        <w:tblW w:w="0" w:type="auto"/>
        <w:tblLook w:val="04A0" w:firstRow="1" w:lastRow="0" w:firstColumn="1" w:lastColumn="0" w:noHBand="0" w:noVBand="1"/>
      </w:tblPr>
      <w:tblGrid>
        <w:gridCol w:w="2208"/>
        <w:gridCol w:w="2800"/>
        <w:gridCol w:w="2771"/>
        <w:gridCol w:w="1571"/>
      </w:tblGrid>
      <w:tr w:rsidR="00CB45AF" w14:paraId="3772E9A8" w14:textId="77777777" w:rsidTr="009B4F90">
        <w:tc>
          <w:tcPr>
            <w:tcW w:w="2208" w:type="dxa"/>
          </w:tcPr>
          <w:p w14:paraId="063A9505" w14:textId="27DFE6E2" w:rsidR="00CB45AF" w:rsidRPr="009B4F90" w:rsidRDefault="00CB45AF" w:rsidP="00CB45AF">
            <w:pPr>
              <w:rPr>
                <w:rFonts w:ascii="Times New Roman" w:hAnsi="Times New Roman" w:cs="Times New Roman"/>
              </w:rPr>
            </w:pPr>
            <w:r w:rsidRPr="009B4F90">
              <w:rPr>
                <w:rFonts w:ascii="Times New Roman" w:hAnsi="Times New Roman" w:cs="Times New Roman"/>
              </w:rPr>
              <w:t>Evaluation index</w:t>
            </w:r>
          </w:p>
        </w:tc>
        <w:tc>
          <w:tcPr>
            <w:tcW w:w="2827" w:type="dxa"/>
          </w:tcPr>
          <w:p w14:paraId="10738E9A" w14:textId="2502BD5C" w:rsidR="00CB45AF" w:rsidRPr="009B4F90" w:rsidRDefault="009B4F90" w:rsidP="00CB45AF">
            <w:pPr>
              <w:rPr>
                <w:rFonts w:ascii="Times New Roman" w:hAnsi="Times New Roman" w:cs="Times New Roman"/>
              </w:rPr>
            </w:pPr>
            <w:r w:rsidRPr="009B4F90">
              <w:rPr>
                <w:rFonts w:ascii="Times New Roman" w:hAnsi="Times New Roman" w:cs="Times New Roman"/>
                <w:color w:val="222222"/>
                <w:shd w:val="clear" w:color="auto" w:fill="FFFFFF"/>
              </w:rPr>
              <w:t>Proper understanding of model performance requires the use of model evaluation indices.</w:t>
            </w:r>
          </w:p>
        </w:tc>
        <w:tc>
          <w:tcPr>
            <w:tcW w:w="2790" w:type="dxa"/>
          </w:tcPr>
          <w:p w14:paraId="3C325CBF" w14:textId="73198F2B" w:rsidR="00CB45AF" w:rsidRPr="009B4F90" w:rsidRDefault="009B4F90" w:rsidP="00CB45AF">
            <w:pPr>
              <w:rPr>
                <w:rFonts w:ascii="Times New Roman" w:hAnsi="Times New Roman" w:cs="Times New Roman"/>
              </w:rPr>
            </w:pPr>
            <w:r w:rsidRPr="009B4F90">
              <w:rPr>
                <w:rFonts w:ascii="Times New Roman" w:hAnsi="Times New Roman" w:cs="Times New Roman"/>
                <w:color w:val="222222"/>
                <w:shd w:val="clear" w:color="auto" w:fill="FFFFFF"/>
              </w:rPr>
              <w:t>“We evaluated the performance of the models by three different methods using an independent dataset of occurrences for model evaluation: (a) an omission error test [...] (b) the binomial cumulative probability [...] (c) the partial receiver operating characteristic [...]”</w:t>
            </w:r>
          </w:p>
        </w:tc>
        <w:tc>
          <w:tcPr>
            <w:tcW w:w="1525" w:type="dxa"/>
          </w:tcPr>
          <w:p w14:paraId="731CEB11" w14:textId="71C79DB6" w:rsidR="00CB45AF" w:rsidRPr="00D343C3" w:rsidRDefault="00D343C3" w:rsidP="00CB45AF">
            <w:pPr>
              <w:rPr>
                <w:color w:val="4472C4" w:themeColor="accent1"/>
              </w:rPr>
            </w:pPr>
            <w:r>
              <w:rPr>
                <w:color w:val="4472C4" w:themeColor="accent1"/>
              </w:rPr>
              <w:t xml:space="preserve">- ENMTools reports an AIC </w:t>
            </w:r>
            <w:r w:rsidR="003810B8">
              <w:rPr>
                <w:color w:val="4472C4" w:themeColor="accent1"/>
              </w:rPr>
              <w:t>for each model. It also reports AUC for model fit (training data), environment space model fit (training data), model fit (test data), and environment space model fit (test data). AIC is our best bet though (Warren and Seifert, 2011).</w:t>
            </w:r>
          </w:p>
        </w:tc>
      </w:tr>
      <w:tr w:rsidR="00CB45AF" w14:paraId="335916F5" w14:textId="77777777" w:rsidTr="009B4F90">
        <w:tc>
          <w:tcPr>
            <w:tcW w:w="2208" w:type="dxa"/>
          </w:tcPr>
          <w:p w14:paraId="4E7A9CE2" w14:textId="2A8DDBBB" w:rsidR="00CB45AF" w:rsidRPr="009B4F90" w:rsidRDefault="00CB45AF" w:rsidP="00CB45AF">
            <w:pPr>
              <w:rPr>
                <w:rFonts w:ascii="Times New Roman" w:hAnsi="Times New Roman" w:cs="Times New Roman"/>
              </w:rPr>
            </w:pPr>
            <w:r w:rsidRPr="009B4F90">
              <w:rPr>
                <w:rFonts w:ascii="Times New Roman" w:hAnsi="Times New Roman" w:cs="Times New Roman"/>
              </w:rPr>
              <w:t>Threshold for evaluation index</w:t>
            </w:r>
          </w:p>
        </w:tc>
        <w:tc>
          <w:tcPr>
            <w:tcW w:w="2827" w:type="dxa"/>
          </w:tcPr>
          <w:p w14:paraId="50E1758C" w14:textId="022FF501" w:rsidR="00CB45AF" w:rsidRPr="009B4F90" w:rsidRDefault="009B4F90" w:rsidP="00CB45AF">
            <w:pPr>
              <w:rPr>
                <w:rFonts w:ascii="Times New Roman" w:hAnsi="Times New Roman" w:cs="Times New Roman"/>
              </w:rPr>
            </w:pPr>
            <w:r w:rsidRPr="009B4F90">
              <w:rPr>
                <w:rFonts w:ascii="Times New Roman" w:hAnsi="Times New Roman" w:cs="Times New Roman"/>
                <w:color w:val="222222"/>
                <w:shd w:val="clear" w:color="auto" w:fill="FFFFFF"/>
              </w:rPr>
              <w:t>Calculation of some evaluation indices requires a threshold. The threshold will vary by study because there is no single, default method for choosing a threshold.</w:t>
            </w:r>
          </w:p>
        </w:tc>
        <w:tc>
          <w:tcPr>
            <w:tcW w:w="2790" w:type="dxa"/>
          </w:tcPr>
          <w:p w14:paraId="746767D4" w14:textId="127CC6B8" w:rsidR="00CB45AF" w:rsidRPr="009B4F90" w:rsidRDefault="009B4F90" w:rsidP="00CB45AF">
            <w:pPr>
              <w:rPr>
                <w:rFonts w:ascii="Times New Roman" w:hAnsi="Times New Roman" w:cs="Times New Roman"/>
              </w:rPr>
            </w:pPr>
            <w:r w:rsidRPr="009B4F90">
              <w:rPr>
                <w:rFonts w:ascii="Times New Roman" w:hAnsi="Times New Roman" w:cs="Times New Roman"/>
                <w:color w:val="222222"/>
                <w:shd w:val="clear" w:color="auto" w:fill="FFFFFF"/>
              </w:rPr>
              <w:t>“A threshold to convert continuous predicted probabilities into a binomial output was estimated for each model run, using the threshold value that maximized specificity (true negative rate) and sensitivity (true positive rate) over the evaluation dataset predictions (Liu, Newell, &amp; White, 2016). Using this threshold, two metrics of predictive performance were derived: the sensitivity of models when predicting ARGOS tracking locations (“sensitivity. ARGOS”, in% correctly classified as presences), and the true statistic skill when predicting the evaluation datasets (“TSS”; Allouche, Tsoar, &amp; Kadmon, 2006).”</w:t>
            </w:r>
          </w:p>
        </w:tc>
        <w:tc>
          <w:tcPr>
            <w:tcW w:w="1525" w:type="dxa"/>
          </w:tcPr>
          <w:p w14:paraId="3E072667" w14:textId="203C78DA" w:rsidR="00CB45AF" w:rsidRPr="003810B8" w:rsidRDefault="003810B8" w:rsidP="00CB45AF">
            <w:pPr>
              <w:rPr>
                <w:color w:val="4472C4" w:themeColor="accent1"/>
              </w:rPr>
            </w:pPr>
            <w:r>
              <w:rPr>
                <w:color w:val="4472C4" w:themeColor="accent1"/>
              </w:rPr>
              <w:t>- Not entirely sure what this one means!</w:t>
            </w:r>
          </w:p>
        </w:tc>
      </w:tr>
      <w:tr w:rsidR="00CB45AF" w14:paraId="3174535F" w14:textId="77777777" w:rsidTr="009B4F90">
        <w:tc>
          <w:tcPr>
            <w:tcW w:w="2208" w:type="dxa"/>
          </w:tcPr>
          <w:p w14:paraId="7BD2912A" w14:textId="60DBA1AA" w:rsidR="00CB45AF" w:rsidRPr="009B4F90" w:rsidRDefault="00CB45AF" w:rsidP="00CB45AF">
            <w:pPr>
              <w:rPr>
                <w:rFonts w:ascii="Times New Roman" w:hAnsi="Times New Roman" w:cs="Times New Roman"/>
              </w:rPr>
            </w:pPr>
            <w:r w:rsidRPr="009B4F90">
              <w:rPr>
                <w:rFonts w:ascii="Times New Roman" w:hAnsi="Times New Roman" w:cs="Times New Roman"/>
              </w:rPr>
              <w:t>Dataset used to evaluate models</w:t>
            </w:r>
          </w:p>
        </w:tc>
        <w:tc>
          <w:tcPr>
            <w:tcW w:w="2827" w:type="dxa"/>
          </w:tcPr>
          <w:p w14:paraId="5817E221" w14:textId="0A7A94D1" w:rsidR="00CB45AF" w:rsidRPr="009B4F90" w:rsidRDefault="009B4F90" w:rsidP="00CB45AF">
            <w:pPr>
              <w:rPr>
                <w:rFonts w:ascii="Times New Roman" w:hAnsi="Times New Roman" w:cs="Times New Roman"/>
              </w:rPr>
            </w:pPr>
            <w:r w:rsidRPr="009B4F90">
              <w:rPr>
                <w:rFonts w:ascii="Times New Roman" w:hAnsi="Times New Roman" w:cs="Times New Roman"/>
                <w:color w:val="222222"/>
                <w:shd w:val="clear" w:color="auto" w:fill="FFFFFF"/>
              </w:rPr>
              <w:t xml:space="preserve">Evaluation of a model is usually based on another independent dataset, or part of the dataset not used in </w:t>
            </w:r>
            <w:r w:rsidRPr="009B4F90">
              <w:rPr>
                <w:rFonts w:ascii="Times New Roman" w:hAnsi="Times New Roman" w:cs="Times New Roman"/>
                <w:color w:val="222222"/>
                <w:shd w:val="clear" w:color="auto" w:fill="FFFFFF"/>
              </w:rPr>
              <w:lastRenderedPageBreak/>
              <w:t>model training. The choice of dataset can influence the evaluation results and the subsequent interpretations.</w:t>
            </w:r>
          </w:p>
        </w:tc>
        <w:tc>
          <w:tcPr>
            <w:tcW w:w="2790" w:type="dxa"/>
          </w:tcPr>
          <w:p w14:paraId="274AFF28" w14:textId="326C1A58" w:rsidR="00CB45AF" w:rsidRPr="009B4F90" w:rsidRDefault="009B4F90" w:rsidP="00CB45AF">
            <w:pPr>
              <w:rPr>
                <w:rFonts w:ascii="Times New Roman" w:hAnsi="Times New Roman" w:cs="Times New Roman"/>
              </w:rPr>
            </w:pPr>
            <w:r w:rsidRPr="009B4F90">
              <w:rPr>
                <w:rFonts w:ascii="Times New Roman" w:hAnsi="Times New Roman" w:cs="Times New Roman"/>
                <w:color w:val="222222"/>
                <w:shd w:val="clear" w:color="auto" w:fill="FFFFFF"/>
              </w:rPr>
              <w:lastRenderedPageBreak/>
              <w:t xml:space="preserve">All these methods used observed presences as input with a 70% random sample for model development and </w:t>
            </w:r>
            <w:r w:rsidRPr="009B4F90">
              <w:rPr>
                <w:rFonts w:ascii="Times New Roman" w:hAnsi="Times New Roman" w:cs="Times New Roman"/>
                <w:color w:val="222222"/>
                <w:shd w:val="clear" w:color="auto" w:fill="FFFFFF"/>
              </w:rPr>
              <w:lastRenderedPageBreak/>
              <w:t>the remaining 30% sample for model evaluation.”</w:t>
            </w:r>
          </w:p>
        </w:tc>
        <w:tc>
          <w:tcPr>
            <w:tcW w:w="1525" w:type="dxa"/>
          </w:tcPr>
          <w:p w14:paraId="032B5BFB" w14:textId="454D0FEF" w:rsidR="00CB45AF" w:rsidRPr="003810B8" w:rsidRDefault="003810B8" w:rsidP="00CB45AF">
            <w:pPr>
              <w:rPr>
                <w:color w:val="4472C4" w:themeColor="accent1"/>
              </w:rPr>
            </w:pPr>
            <w:r>
              <w:rPr>
                <w:color w:val="4472C4" w:themeColor="accent1"/>
              </w:rPr>
              <w:lastRenderedPageBreak/>
              <w:t xml:space="preserve">-I hadn’t considered this. I wonder </w:t>
            </w:r>
            <w:r>
              <w:rPr>
                <w:color w:val="4472C4" w:themeColor="accent1"/>
              </w:rPr>
              <w:lastRenderedPageBreak/>
              <w:t>if it’s necessary for our project though?</w:t>
            </w:r>
          </w:p>
        </w:tc>
      </w:tr>
      <w:tr w:rsidR="00CB45AF" w14:paraId="1D37F20F" w14:textId="77777777" w:rsidTr="009B4F90">
        <w:tc>
          <w:tcPr>
            <w:tcW w:w="2208" w:type="dxa"/>
          </w:tcPr>
          <w:p w14:paraId="56AF3D47" w14:textId="6215DD48" w:rsidR="00CB45AF" w:rsidRPr="009B4F90" w:rsidRDefault="00CB45AF" w:rsidP="00CB45AF">
            <w:pPr>
              <w:rPr>
                <w:rFonts w:ascii="Times New Roman" w:hAnsi="Times New Roman" w:cs="Times New Roman"/>
              </w:rPr>
            </w:pPr>
            <w:r w:rsidRPr="009B4F90">
              <w:rPr>
                <w:rFonts w:ascii="Times New Roman" w:hAnsi="Times New Roman" w:cs="Times New Roman"/>
              </w:rPr>
              <w:lastRenderedPageBreak/>
              <w:t>Format/transformation</w:t>
            </w:r>
          </w:p>
        </w:tc>
        <w:tc>
          <w:tcPr>
            <w:tcW w:w="2827" w:type="dxa"/>
          </w:tcPr>
          <w:p w14:paraId="1BCEAE81" w14:textId="1C2D4FF2" w:rsidR="00CB45AF" w:rsidRPr="009B4F90" w:rsidRDefault="009B4F90" w:rsidP="00CB45AF">
            <w:pPr>
              <w:rPr>
                <w:rFonts w:ascii="Times New Roman" w:hAnsi="Times New Roman" w:cs="Times New Roman"/>
              </w:rPr>
            </w:pPr>
            <w:r w:rsidRPr="009B4F90">
              <w:rPr>
                <w:rFonts w:ascii="Times New Roman" w:hAnsi="Times New Roman" w:cs="Times New Roman"/>
                <w:color w:val="222222"/>
                <w:shd w:val="clear" w:color="auto" w:fill="FFFFFF"/>
              </w:rPr>
              <w:t>The raw model predictions are sometimes transformed (for example, logistic transformation) via different methods under different assumptions.</w:t>
            </w:r>
          </w:p>
        </w:tc>
        <w:tc>
          <w:tcPr>
            <w:tcW w:w="2790" w:type="dxa"/>
          </w:tcPr>
          <w:p w14:paraId="630938F1" w14:textId="01937D01" w:rsidR="00CB45AF" w:rsidRPr="009B4F90" w:rsidRDefault="009B4F90" w:rsidP="00CB45AF">
            <w:pPr>
              <w:rPr>
                <w:rFonts w:ascii="Times New Roman" w:hAnsi="Times New Roman" w:cs="Times New Roman"/>
              </w:rPr>
            </w:pPr>
            <w:r w:rsidRPr="009B4F90">
              <w:rPr>
                <w:rFonts w:ascii="Times New Roman" w:hAnsi="Times New Roman" w:cs="Times New Roman"/>
                <w:color w:val="222222"/>
                <w:shd w:val="clear" w:color="auto" w:fill="FFFFFF"/>
              </w:rPr>
              <w:t>“[...] we used the logistic output format [...]”</w:t>
            </w:r>
          </w:p>
        </w:tc>
        <w:tc>
          <w:tcPr>
            <w:tcW w:w="1525" w:type="dxa"/>
          </w:tcPr>
          <w:p w14:paraId="73DA6A96" w14:textId="70B3CCA3" w:rsidR="00CB45AF" w:rsidRPr="003810B8" w:rsidRDefault="003810B8" w:rsidP="00CB45AF">
            <w:pPr>
              <w:rPr>
                <w:color w:val="4472C4" w:themeColor="accent1"/>
              </w:rPr>
            </w:pPr>
            <w:r>
              <w:rPr>
                <w:color w:val="4472C4" w:themeColor="accent1"/>
              </w:rPr>
              <w:t>- No transformation used</w:t>
            </w:r>
          </w:p>
        </w:tc>
      </w:tr>
      <w:tr w:rsidR="00CB45AF" w14:paraId="58AA3851" w14:textId="77777777" w:rsidTr="009B4F90">
        <w:tc>
          <w:tcPr>
            <w:tcW w:w="2208" w:type="dxa"/>
          </w:tcPr>
          <w:p w14:paraId="064DDCC7" w14:textId="5E6E893A" w:rsidR="00CB45AF" w:rsidRPr="009B4F90" w:rsidRDefault="00CB45AF" w:rsidP="00CB45AF">
            <w:pPr>
              <w:rPr>
                <w:rFonts w:ascii="Times New Roman" w:hAnsi="Times New Roman" w:cs="Times New Roman"/>
              </w:rPr>
            </w:pPr>
            <w:r w:rsidRPr="009B4F90">
              <w:rPr>
                <w:rFonts w:ascii="Times New Roman" w:hAnsi="Times New Roman" w:cs="Times New Roman"/>
              </w:rPr>
              <w:t>Threshold</w:t>
            </w:r>
          </w:p>
        </w:tc>
        <w:tc>
          <w:tcPr>
            <w:tcW w:w="2827" w:type="dxa"/>
          </w:tcPr>
          <w:p w14:paraId="741B8206" w14:textId="08F9843C" w:rsidR="00CB45AF" w:rsidRPr="009B4F90" w:rsidRDefault="009B4F90" w:rsidP="00CB45AF">
            <w:pPr>
              <w:rPr>
                <w:rFonts w:ascii="Times New Roman" w:hAnsi="Times New Roman" w:cs="Times New Roman"/>
              </w:rPr>
            </w:pPr>
            <w:r w:rsidRPr="009B4F90">
              <w:rPr>
                <w:rFonts w:ascii="Times New Roman" w:hAnsi="Times New Roman" w:cs="Times New Roman"/>
                <w:color w:val="222222"/>
                <w:shd w:val="clear" w:color="auto" w:fill="FFFFFF"/>
              </w:rPr>
              <w:t>Often, the model predictions are in continuous format, which is subsequently transformed into a binary prediction under a particular threshold. Researchers have proposed different ways of thresholding for different purposes and under varied assumptions.</w:t>
            </w:r>
          </w:p>
        </w:tc>
        <w:tc>
          <w:tcPr>
            <w:tcW w:w="2790" w:type="dxa"/>
          </w:tcPr>
          <w:p w14:paraId="5E58282C" w14:textId="52CB0670" w:rsidR="00CB45AF" w:rsidRPr="009B4F90" w:rsidRDefault="009B4F90" w:rsidP="00CB45AF">
            <w:pPr>
              <w:rPr>
                <w:rFonts w:ascii="Times New Roman" w:hAnsi="Times New Roman" w:cs="Times New Roman"/>
              </w:rPr>
            </w:pPr>
            <w:r w:rsidRPr="009B4F90">
              <w:rPr>
                <w:rFonts w:ascii="Times New Roman" w:hAnsi="Times New Roman" w:cs="Times New Roman"/>
              </w:rPr>
              <w:t>“</w:t>
            </w:r>
            <w:r w:rsidRPr="009B4F90">
              <w:rPr>
                <w:rFonts w:ascii="Times New Roman" w:hAnsi="Times New Roman" w:cs="Times New Roman"/>
                <w:color w:val="222222"/>
                <w:shd w:val="clear" w:color="auto" w:fill="FFFFFF"/>
              </w:rPr>
              <w:t>“We repeated this procedure 20 times for each algorithm and used the Lowest Present Threshold values (Pearson et al., 2007) to transform each map in binary.”</w:t>
            </w:r>
          </w:p>
        </w:tc>
        <w:tc>
          <w:tcPr>
            <w:tcW w:w="1525" w:type="dxa"/>
          </w:tcPr>
          <w:p w14:paraId="770A13E5" w14:textId="2C0C0533" w:rsidR="00CB45AF" w:rsidRPr="003810B8" w:rsidRDefault="003810B8" w:rsidP="00CB45AF">
            <w:pPr>
              <w:rPr>
                <w:color w:val="4472C4" w:themeColor="accent1"/>
              </w:rPr>
            </w:pPr>
            <w:r>
              <w:rPr>
                <w:color w:val="4472C4" w:themeColor="accent1"/>
              </w:rPr>
              <w:t xml:space="preserve">- We have a suitability gradient, but we consider the most suitable cells </w:t>
            </w:r>
            <w:r>
              <w:rPr>
                <w:color w:val="4472C4" w:themeColor="accent1"/>
              </w:rPr>
              <w:t>(have a score &gt;= 0.80)</w:t>
            </w:r>
            <w:r>
              <w:rPr>
                <w:color w:val="4472C4" w:themeColor="accent1"/>
              </w:rPr>
              <w:t xml:space="preserve"> for choosing a good point to visit </w:t>
            </w:r>
          </w:p>
        </w:tc>
      </w:tr>
      <w:tr w:rsidR="00CB45AF" w14:paraId="4CACE09D" w14:textId="77777777" w:rsidTr="009B4F90">
        <w:tc>
          <w:tcPr>
            <w:tcW w:w="2208" w:type="dxa"/>
          </w:tcPr>
          <w:p w14:paraId="32DDC257" w14:textId="22FB8C48" w:rsidR="00CB45AF" w:rsidRPr="009B4F90" w:rsidRDefault="00CB45AF" w:rsidP="00CB45AF">
            <w:pPr>
              <w:rPr>
                <w:rFonts w:ascii="Times New Roman" w:hAnsi="Times New Roman" w:cs="Times New Roman"/>
              </w:rPr>
            </w:pPr>
            <w:r w:rsidRPr="009B4F90">
              <w:rPr>
                <w:rFonts w:ascii="Times New Roman" w:hAnsi="Times New Roman" w:cs="Times New Roman"/>
              </w:rPr>
              <w:t>Novelty of projected environments relative to training environments</w:t>
            </w:r>
          </w:p>
        </w:tc>
        <w:tc>
          <w:tcPr>
            <w:tcW w:w="2827" w:type="dxa"/>
          </w:tcPr>
          <w:p w14:paraId="00755FC5" w14:textId="696F27FE" w:rsidR="00CB45AF" w:rsidRPr="009B4F90" w:rsidRDefault="009B4F90" w:rsidP="00CB45AF">
            <w:pPr>
              <w:rPr>
                <w:rFonts w:ascii="Times New Roman" w:hAnsi="Times New Roman" w:cs="Times New Roman"/>
              </w:rPr>
            </w:pPr>
            <w:r w:rsidRPr="009B4F90">
              <w:rPr>
                <w:rFonts w:ascii="Times New Roman" w:hAnsi="Times New Roman" w:cs="Times New Roman"/>
                <w:color w:val="222222"/>
                <w:shd w:val="clear" w:color="auto" w:fill="FFFFFF"/>
              </w:rPr>
              <w:t>Transferring a model across space and/or time may lead to extrapolation if the projected environments are novel compared with training environments. Quantification of novel environments could help understand the uncertainties associated with model predictions.</w:t>
            </w:r>
          </w:p>
        </w:tc>
        <w:tc>
          <w:tcPr>
            <w:tcW w:w="2790" w:type="dxa"/>
          </w:tcPr>
          <w:p w14:paraId="31E7CC14" w14:textId="21CAFB67" w:rsidR="00CB45AF" w:rsidRPr="009B4F90" w:rsidRDefault="009B4F90" w:rsidP="00CB45AF">
            <w:pPr>
              <w:rPr>
                <w:rFonts w:ascii="Times New Roman" w:hAnsi="Times New Roman" w:cs="Times New Roman"/>
              </w:rPr>
            </w:pPr>
            <w:r w:rsidRPr="009B4F90">
              <w:rPr>
                <w:rFonts w:ascii="Times New Roman" w:hAnsi="Times New Roman" w:cs="Times New Roman"/>
                <w:color w:val="222222"/>
                <w:shd w:val="clear" w:color="auto" w:fill="FFFFFF"/>
              </w:rPr>
              <w:t>“To assess the effect of model extrapolation on values of predictor variables lying outside the training range, that is, projecting models on non-analogous climates (cf. Nogues-Bravo, 2009), we conducted a multivariate environmental similarity surfaces (MESS) analysis, following Elith et al. (2011).”</w:t>
            </w:r>
          </w:p>
        </w:tc>
        <w:tc>
          <w:tcPr>
            <w:tcW w:w="1525" w:type="dxa"/>
          </w:tcPr>
          <w:p w14:paraId="248CE7FF" w14:textId="24B878E0" w:rsidR="00CB45AF" w:rsidRPr="00635254" w:rsidRDefault="00635254" w:rsidP="00CB45AF">
            <w:pPr>
              <w:rPr>
                <w:color w:val="4472C4" w:themeColor="accent1"/>
              </w:rPr>
            </w:pPr>
            <w:r>
              <w:rPr>
                <w:color w:val="4472C4" w:themeColor="accent1"/>
              </w:rPr>
              <w:t>- I wonder if we don’t have to worry about this because the extrapolation is suitability and not environmental variables?</w:t>
            </w:r>
          </w:p>
        </w:tc>
      </w:tr>
      <w:tr w:rsidR="00CB45AF" w14:paraId="243F82E4" w14:textId="77777777" w:rsidTr="009B4F90">
        <w:tc>
          <w:tcPr>
            <w:tcW w:w="2208" w:type="dxa"/>
          </w:tcPr>
          <w:p w14:paraId="1F31C75C" w14:textId="782A1C1A" w:rsidR="00CB45AF" w:rsidRPr="009B4F90" w:rsidRDefault="00CB45AF" w:rsidP="00CB45AF">
            <w:pPr>
              <w:rPr>
                <w:rFonts w:ascii="Times New Roman" w:hAnsi="Times New Roman" w:cs="Times New Roman"/>
              </w:rPr>
            </w:pPr>
            <w:r w:rsidRPr="009B4F90">
              <w:rPr>
                <w:rFonts w:ascii="Times New Roman" w:hAnsi="Times New Roman" w:cs="Times New Roman"/>
              </w:rPr>
              <w:t xml:space="preserve">Collinearity shift between training and projected environments </w:t>
            </w:r>
          </w:p>
        </w:tc>
        <w:tc>
          <w:tcPr>
            <w:tcW w:w="2827" w:type="dxa"/>
          </w:tcPr>
          <w:p w14:paraId="53B9C7D2" w14:textId="16EDF774" w:rsidR="00CB45AF" w:rsidRPr="009B4F90" w:rsidRDefault="009B4F90" w:rsidP="00CB45AF">
            <w:pPr>
              <w:rPr>
                <w:rFonts w:ascii="Times New Roman" w:hAnsi="Times New Roman" w:cs="Times New Roman"/>
              </w:rPr>
            </w:pPr>
            <w:r w:rsidRPr="009B4F90">
              <w:rPr>
                <w:rFonts w:ascii="Times New Roman" w:hAnsi="Times New Roman" w:cs="Times New Roman"/>
                <w:color w:val="222222"/>
                <w:shd w:val="clear" w:color="auto" w:fill="FFFFFF"/>
              </w:rPr>
              <w:t>Transferring a model outside training data may be affected by differences in collinearity structure between training and projection environments, which can lead to degraded prediction performance. Therefore, quantification of collinearity shift or any steps towards correcting for it should be specified.</w:t>
            </w:r>
          </w:p>
        </w:tc>
        <w:tc>
          <w:tcPr>
            <w:tcW w:w="2790" w:type="dxa"/>
          </w:tcPr>
          <w:p w14:paraId="1933B45C" w14:textId="01F61BCB" w:rsidR="00CB45AF" w:rsidRPr="009B4F90" w:rsidRDefault="009B4F90" w:rsidP="00CB45AF">
            <w:pPr>
              <w:rPr>
                <w:rFonts w:ascii="Times New Roman" w:hAnsi="Times New Roman" w:cs="Times New Roman"/>
              </w:rPr>
            </w:pPr>
            <w:r w:rsidRPr="009B4F90">
              <w:rPr>
                <w:rFonts w:ascii="Times New Roman" w:hAnsi="Times New Roman" w:cs="Times New Roman"/>
                <w:color w:val="222222"/>
                <w:shd w:val="clear" w:color="auto" w:fill="FFFFFF"/>
              </w:rPr>
              <w:t>“We compared the correlation matrix of the 6 variables in the training region to the average of the correlation matrices of present and future climate layers in the projected area (Tables </w:t>
            </w:r>
            <w:hyperlink r:id="rId9" w:anchor="MOESM1" w:history="1">
              <w:r w:rsidRPr="009B4F90">
                <w:rPr>
                  <w:rStyle w:val="Hyperlink"/>
                  <w:rFonts w:ascii="Times New Roman" w:hAnsi="Times New Roman" w:cs="Times New Roman"/>
                  <w:color w:val="006699"/>
                  <w:shd w:val="clear" w:color="auto" w:fill="FFFFFF"/>
                </w:rPr>
                <w:t>S2</w:t>
              </w:r>
            </w:hyperlink>
            <w:r w:rsidRPr="009B4F90">
              <w:rPr>
                <w:rFonts w:ascii="Times New Roman" w:hAnsi="Times New Roman" w:cs="Times New Roman"/>
                <w:color w:val="222222"/>
                <w:shd w:val="clear" w:color="auto" w:fill="FFFFFF"/>
              </w:rPr>
              <w:t> &amp; </w:t>
            </w:r>
            <w:hyperlink r:id="rId10" w:anchor="MOESM3" w:history="1">
              <w:r w:rsidRPr="009B4F90">
                <w:rPr>
                  <w:rStyle w:val="Hyperlink"/>
                  <w:rFonts w:ascii="Times New Roman" w:hAnsi="Times New Roman" w:cs="Times New Roman"/>
                  <w:color w:val="006699"/>
                  <w:shd w:val="clear" w:color="auto" w:fill="FFFFFF"/>
                </w:rPr>
                <w:t>S3</w:t>
              </w:r>
            </w:hyperlink>
            <w:r w:rsidRPr="009B4F90">
              <w:rPr>
                <w:rFonts w:ascii="Times New Roman" w:hAnsi="Times New Roman" w:cs="Times New Roman"/>
                <w:color w:val="222222"/>
                <w:shd w:val="clear" w:color="auto" w:fill="FFFFFF"/>
              </w:rPr>
              <w:t> in Supplement </w:t>
            </w:r>
            <w:hyperlink r:id="rId11" w:anchor="MOESM1" w:history="1">
              <w:r w:rsidRPr="009B4F90">
                <w:rPr>
                  <w:rStyle w:val="Hyperlink"/>
                  <w:rFonts w:ascii="Times New Roman" w:hAnsi="Times New Roman" w:cs="Times New Roman"/>
                  <w:color w:val="006699"/>
                  <w:shd w:val="clear" w:color="auto" w:fill="FFFFFF"/>
                </w:rPr>
                <w:t>2</w:t>
              </w:r>
            </w:hyperlink>
            <w:r w:rsidRPr="009B4F90">
              <w:rPr>
                <w:rFonts w:ascii="Times New Roman" w:hAnsi="Times New Roman" w:cs="Times New Roman"/>
                <w:color w:val="222222"/>
                <w:shd w:val="clear" w:color="auto" w:fill="FFFFFF"/>
              </w:rPr>
              <w:t>). The highest absolute change of </w:t>
            </w:r>
            <w:r w:rsidRPr="009B4F90">
              <w:rPr>
                <w:rFonts w:ascii="Times New Roman" w:hAnsi="Times New Roman" w:cs="Times New Roman"/>
                <w:i/>
                <w:iCs/>
                <w:color w:val="222222"/>
                <w:shd w:val="clear" w:color="auto" w:fill="FFFFFF"/>
              </w:rPr>
              <w:t>r</w:t>
            </w:r>
            <w:r w:rsidRPr="009B4F90">
              <w:rPr>
                <w:rFonts w:ascii="Times New Roman" w:hAnsi="Times New Roman" w:cs="Times New Roman"/>
                <w:color w:val="222222"/>
                <w:shd w:val="clear" w:color="auto" w:fill="FFFFFF"/>
              </w:rPr>
              <w:t> was 0.3 for bio4 and bio17, and </w:t>
            </w:r>
            <w:r w:rsidRPr="009B4F90">
              <w:rPr>
                <w:rFonts w:ascii="Times New Roman" w:hAnsi="Times New Roman" w:cs="Times New Roman"/>
                <w:i/>
                <w:iCs/>
                <w:color w:val="222222"/>
                <w:shd w:val="clear" w:color="auto" w:fill="FFFFFF"/>
              </w:rPr>
              <w:t>r</w:t>
            </w:r>
            <w:r w:rsidRPr="009B4F90">
              <w:rPr>
                <w:rFonts w:ascii="Times New Roman" w:hAnsi="Times New Roman" w:cs="Times New Roman"/>
                <w:color w:val="222222"/>
                <w:shd w:val="clear" w:color="auto" w:fill="FFFFFF"/>
              </w:rPr>
              <w:t> increased above the 0.7 threshold for 2 pairs of variables (−0.78 for bio3 and bio4; 0.71 for bio16 and bio17; Supplement </w:t>
            </w:r>
            <w:hyperlink r:id="rId12" w:anchor="MOESM1" w:history="1">
              <w:r w:rsidRPr="009B4F90">
                <w:rPr>
                  <w:rStyle w:val="Hyperlink"/>
                  <w:rFonts w:ascii="Times New Roman" w:hAnsi="Times New Roman" w:cs="Times New Roman"/>
                  <w:color w:val="006699"/>
                  <w:shd w:val="clear" w:color="auto" w:fill="FFFFFF"/>
                </w:rPr>
                <w:t>2</w:t>
              </w:r>
            </w:hyperlink>
            <w:r w:rsidRPr="009B4F90">
              <w:rPr>
                <w:rFonts w:ascii="Times New Roman" w:hAnsi="Times New Roman" w:cs="Times New Roman"/>
                <w:color w:val="222222"/>
                <w:shd w:val="clear" w:color="auto" w:fill="FFFFFF"/>
              </w:rPr>
              <w:t>).”</w:t>
            </w:r>
          </w:p>
        </w:tc>
        <w:tc>
          <w:tcPr>
            <w:tcW w:w="1525" w:type="dxa"/>
          </w:tcPr>
          <w:p w14:paraId="6F9AE491" w14:textId="6A75BF49" w:rsidR="00CB45AF" w:rsidRPr="00635254" w:rsidRDefault="00635254" w:rsidP="00CB45AF">
            <w:pPr>
              <w:rPr>
                <w:color w:val="4472C4" w:themeColor="accent1"/>
              </w:rPr>
            </w:pPr>
            <w:r>
              <w:rPr>
                <w:color w:val="4472C4" w:themeColor="accent1"/>
              </w:rPr>
              <w:t>- We are not predicting changes in the bioclim layers, so this is not applicable</w:t>
            </w:r>
          </w:p>
        </w:tc>
      </w:tr>
      <w:tr w:rsidR="00CB45AF" w14:paraId="1DC57DA5" w14:textId="77777777" w:rsidTr="009B4F90">
        <w:tc>
          <w:tcPr>
            <w:tcW w:w="2208" w:type="dxa"/>
          </w:tcPr>
          <w:p w14:paraId="338D342E" w14:textId="5E656F3D" w:rsidR="00CB45AF" w:rsidRPr="009B4F90" w:rsidRDefault="00CB45AF" w:rsidP="00CB45AF">
            <w:pPr>
              <w:rPr>
                <w:rFonts w:ascii="Times New Roman" w:hAnsi="Times New Roman" w:cs="Times New Roman"/>
              </w:rPr>
            </w:pPr>
            <w:r w:rsidRPr="009B4F90">
              <w:rPr>
                <w:rFonts w:ascii="Times New Roman" w:hAnsi="Times New Roman" w:cs="Times New Roman"/>
              </w:rPr>
              <w:lastRenderedPageBreak/>
              <w:t>Extrapolation strategy</w:t>
            </w:r>
          </w:p>
        </w:tc>
        <w:tc>
          <w:tcPr>
            <w:tcW w:w="2827" w:type="dxa"/>
          </w:tcPr>
          <w:p w14:paraId="4B1789E6" w14:textId="09B14C05" w:rsidR="00CB45AF" w:rsidRPr="009B4F90" w:rsidRDefault="009B4F90" w:rsidP="00CB45AF">
            <w:pPr>
              <w:rPr>
                <w:rFonts w:ascii="Times New Roman" w:hAnsi="Times New Roman" w:cs="Times New Roman"/>
              </w:rPr>
            </w:pPr>
            <w:r w:rsidRPr="009B4F90">
              <w:rPr>
                <w:rFonts w:ascii="Times New Roman" w:hAnsi="Times New Roman" w:cs="Times New Roman"/>
                <w:color w:val="222222"/>
                <w:shd w:val="clear" w:color="auto" w:fill="FFFFFF"/>
              </w:rPr>
              <w:t>Model extrapolation is statistically challenging. Different extrapolation strategies can lead to very different model predictions, therefore the choice of extrapolation, even the default setting of an algorithm, should be provided.</w:t>
            </w:r>
          </w:p>
        </w:tc>
        <w:tc>
          <w:tcPr>
            <w:tcW w:w="2790" w:type="dxa"/>
          </w:tcPr>
          <w:p w14:paraId="61121771" w14:textId="5E4ABE68" w:rsidR="00CB45AF" w:rsidRPr="009B4F90" w:rsidRDefault="009B4F90" w:rsidP="00CB45AF">
            <w:pPr>
              <w:rPr>
                <w:rFonts w:ascii="Times New Roman" w:hAnsi="Times New Roman" w:cs="Times New Roman"/>
              </w:rPr>
            </w:pPr>
            <w:r w:rsidRPr="009B4F90">
              <w:rPr>
                <w:rFonts w:ascii="Times New Roman" w:hAnsi="Times New Roman" w:cs="Times New Roman"/>
                <w:color w:val="222222"/>
                <w:shd w:val="clear" w:color="auto" w:fill="FFFFFF"/>
              </w:rPr>
              <w:t>“Five replicates of each model were conducted with no clamping or extrapolation and with all the default ‘features’ used.”</w:t>
            </w:r>
          </w:p>
        </w:tc>
        <w:tc>
          <w:tcPr>
            <w:tcW w:w="1525" w:type="dxa"/>
          </w:tcPr>
          <w:p w14:paraId="0E1A308E" w14:textId="23A135D4" w:rsidR="00CB45AF" w:rsidRPr="0048753C" w:rsidRDefault="0048753C" w:rsidP="00CB45AF">
            <w:pPr>
              <w:rPr>
                <w:color w:val="4472C4" w:themeColor="accent1"/>
              </w:rPr>
            </w:pPr>
            <w:r>
              <w:rPr>
                <w:color w:val="4472C4" w:themeColor="accent1"/>
              </w:rPr>
              <w:t>- No clamping or extrapolation, used only the default ENMTools GLM settings</w:t>
            </w:r>
          </w:p>
        </w:tc>
      </w:tr>
    </w:tbl>
    <w:p w14:paraId="50C1535E" w14:textId="77777777" w:rsidR="00CB45AF" w:rsidRPr="00CB45AF" w:rsidRDefault="00CB45AF" w:rsidP="00CB45AF"/>
    <w:sectPr w:rsidR="00CB45AF" w:rsidRPr="00CB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01AD3"/>
    <w:multiLevelType w:val="hybridMultilevel"/>
    <w:tmpl w:val="6CD4966A"/>
    <w:lvl w:ilvl="0" w:tplc="D420550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340B5D"/>
    <w:multiLevelType w:val="hybridMultilevel"/>
    <w:tmpl w:val="C41A9D66"/>
    <w:lvl w:ilvl="0" w:tplc="03A40360">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88"/>
    <w:rsid w:val="000B50C8"/>
    <w:rsid w:val="00103E65"/>
    <w:rsid w:val="0018758F"/>
    <w:rsid w:val="00233E84"/>
    <w:rsid w:val="00291388"/>
    <w:rsid w:val="002B2493"/>
    <w:rsid w:val="003810B8"/>
    <w:rsid w:val="0048753C"/>
    <w:rsid w:val="004E3EFE"/>
    <w:rsid w:val="00630CD9"/>
    <w:rsid w:val="00635254"/>
    <w:rsid w:val="006A47A2"/>
    <w:rsid w:val="006C14CF"/>
    <w:rsid w:val="007A6D23"/>
    <w:rsid w:val="00804EBE"/>
    <w:rsid w:val="008D548E"/>
    <w:rsid w:val="00920928"/>
    <w:rsid w:val="00965243"/>
    <w:rsid w:val="009B4F90"/>
    <w:rsid w:val="00BA5AF0"/>
    <w:rsid w:val="00CB45AF"/>
    <w:rsid w:val="00D343C3"/>
    <w:rsid w:val="00D51831"/>
    <w:rsid w:val="00E73396"/>
    <w:rsid w:val="00F7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D8FC"/>
  <w15:chartTrackingRefBased/>
  <w15:docId w15:val="{D03E63FA-50A2-440C-89AD-7CDEED6F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1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388"/>
    <w:pPr>
      <w:ind w:left="720"/>
      <w:contextualSpacing/>
    </w:pPr>
  </w:style>
  <w:style w:type="character" w:styleId="Hyperlink">
    <w:name w:val="Hyperlink"/>
    <w:basedOn w:val="DefaultParagraphFont"/>
    <w:uiPriority w:val="99"/>
    <w:semiHidden/>
    <w:unhideWhenUsed/>
    <w:rsid w:val="002913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clim.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eflifesurvey.com/" TargetMode="External"/><Relationship Id="rId12" Type="http://schemas.openxmlformats.org/officeDocument/2006/relationships/hyperlink" Target="https://www.nature.com/articles/s41559-019-097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bif.org/" TargetMode="External"/><Relationship Id="rId11" Type="http://schemas.openxmlformats.org/officeDocument/2006/relationships/hyperlink" Target="https://www.nature.com/articles/s41559-019-0972-5" TargetMode="External"/><Relationship Id="rId5" Type="http://schemas.openxmlformats.org/officeDocument/2006/relationships/hyperlink" Target="http://iobis.org/" TargetMode="External"/><Relationship Id="rId10" Type="http://schemas.openxmlformats.org/officeDocument/2006/relationships/hyperlink" Target="https://www.nature.com/articles/s41559-019-0972-5" TargetMode="External"/><Relationship Id="rId4" Type="http://schemas.openxmlformats.org/officeDocument/2006/relationships/webSettings" Target="webSettings.xml"/><Relationship Id="rId9" Type="http://schemas.openxmlformats.org/officeDocument/2006/relationships/hyperlink" Target="https://www.nature.com/articles/s41559-019-097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8</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Martin</dc:creator>
  <cp:keywords/>
  <dc:description/>
  <cp:lastModifiedBy>Kristen Martinet</cp:lastModifiedBy>
  <cp:revision>12</cp:revision>
  <dcterms:created xsi:type="dcterms:W3CDTF">2021-03-23T18:23:00Z</dcterms:created>
  <dcterms:modified xsi:type="dcterms:W3CDTF">2021-03-26T14:58:00Z</dcterms:modified>
</cp:coreProperties>
</file>