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6F276" w14:textId="0DEBAD4D" w:rsidR="00701DC1" w:rsidRDefault="00D552F6" w:rsidP="00D552F6">
      <w:pPr>
        <w:spacing w:line="240" w:lineRule="auto"/>
        <w:rPr>
          <w:rFonts w:ascii="Times New Roman" w:hAnsi="Times New Roman" w:cs="Times New Roman"/>
        </w:rPr>
      </w:pPr>
      <w:r>
        <w:rPr>
          <w:rFonts w:ascii="Times New Roman" w:hAnsi="Times New Roman" w:cs="Times New Roman"/>
        </w:rPr>
        <w:t>Luke Kaschmitter</w:t>
      </w:r>
    </w:p>
    <w:p w14:paraId="0BF4A8FF" w14:textId="6ED2BFDC" w:rsidR="00D552F6" w:rsidRDefault="00D552F6" w:rsidP="00D552F6">
      <w:pPr>
        <w:spacing w:line="240" w:lineRule="auto"/>
        <w:rPr>
          <w:rFonts w:ascii="Times New Roman" w:hAnsi="Times New Roman" w:cs="Times New Roman"/>
        </w:rPr>
      </w:pPr>
      <w:r>
        <w:rPr>
          <w:rFonts w:ascii="Times New Roman" w:hAnsi="Times New Roman" w:cs="Times New Roman"/>
        </w:rPr>
        <w:t>MIS 2040</w:t>
      </w:r>
    </w:p>
    <w:p w14:paraId="65A013F2" w14:textId="40697616" w:rsidR="00D552F6" w:rsidRPr="00FC4EAF" w:rsidRDefault="00D552F6" w:rsidP="00D552F6">
      <w:pPr>
        <w:spacing w:line="240" w:lineRule="auto"/>
        <w:rPr>
          <w:rFonts w:ascii="Times New Roman" w:hAnsi="Times New Roman" w:cs="Times New Roman"/>
        </w:rPr>
      </w:pPr>
      <w:r>
        <w:rPr>
          <w:rFonts w:ascii="Times New Roman" w:hAnsi="Times New Roman" w:cs="Times New Roman"/>
        </w:rPr>
        <w:t>December 12</w:t>
      </w:r>
      <w:r w:rsidRPr="00D552F6">
        <w:rPr>
          <w:rFonts w:ascii="Times New Roman" w:hAnsi="Times New Roman" w:cs="Times New Roman"/>
          <w:vertAlign w:val="superscript"/>
        </w:rPr>
        <w:t>th</w:t>
      </w:r>
      <w:r>
        <w:rPr>
          <w:rFonts w:ascii="Times New Roman" w:hAnsi="Times New Roman" w:cs="Times New Roman"/>
        </w:rPr>
        <w:t>, 2023</w:t>
      </w:r>
    </w:p>
    <w:p w14:paraId="7798CD8D" w14:textId="52784D6F" w:rsidR="00D26F7F" w:rsidRPr="00D552F6" w:rsidRDefault="00D26F7F" w:rsidP="00FC4EAF">
      <w:pPr>
        <w:spacing w:line="240" w:lineRule="auto"/>
        <w:jc w:val="center"/>
        <w:rPr>
          <w:rFonts w:ascii="Times New Roman" w:hAnsi="Times New Roman" w:cs="Times New Roman"/>
          <w:b/>
          <w:bCs/>
        </w:rPr>
      </w:pPr>
      <w:r w:rsidRPr="00D552F6">
        <w:rPr>
          <w:rFonts w:ascii="Times New Roman" w:hAnsi="Times New Roman" w:cs="Times New Roman"/>
          <w:b/>
          <w:bCs/>
        </w:rPr>
        <w:t xml:space="preserve">Can </w:t>
      </w:r>
      <w:r w:rsidR="00D552F6" w:rsidRPr="00D552F6">
        <w:rPr>
          <w:rFonts w:ascii="Times New Roman" w:hAnsi="Times New Roman" w:cs="Times New Roman"/>
          <w:b/>
          <w:bCs/>
        </w:rPr>
        <w:t xml:space="preserve">the </w:t>
      </w:r>
      <w:r w:rsidRPr="00D552F6">
        <w:rPr>
          <w:rFonts w:ascii="Times New Roman" w:hAnsi="Times New Roman" w:cs="Times New Roman"/>
          <w:b/>
          <w:bCs/>
        </w:rPr>
        <w:t>Profitability of Insider Trades be Predicted?</w:t>
      </w:r>
    </w:p>
    <w:p w14:paraId="2F68D116" w14:textId="6EE7DE9B" w:rsidR="00CD1A0D" w:rsidRPr="00FC4EAF" w:rsidRDefault="007825E2" w:rsidP="00FC4EAF">
      <w:pPr>
        <w:spacing w:line="240" w:lineRule="auto"/>
        <w:rPr>
          <w:rFonts w:ascii="Times New Roman" w:hAnsi="Times New Roman" w:cs="Times New Roman"/>
          <w:b/>
          <w:bCs/>
        </w:rPr>
      </w:pPr>
      <w:r w:rsidRPr="00FC4EAF">
        <w:rPr>
          <w:rFonts w:ascii="Times New Roman" w:hAnsi="Times New Roman" w:cs="Times New Roman"/>
          <w:b/>
          <w:bCs/>
        </w:rPr>
        <w:t>Objectives</w:t>
      </w:r>
    </w:p>
    <w:p w14:paraId="5A88EC0D" w14:textId="00A6A815" w:rsidR="00FC4EAF" w:rsidRDefault="00FC4EAF" w:rsidP="00FC4EAF">
      <w:pPr>
        <w:spacing w:line="240" w:lineRule="auto"/>
        <w:rPr>
          <w:rFonts w:ascii="Times New Roman" w:hAnsi="Times New Roman" w:cs="Times New Roman"/>
        </w:rPr>
      </w:pPr>
      <w:r w:rsidRPr="00FC4EAF">
        <w:rPr>
          <w:rFonts w:ascii="Times New Roman" w:hAnsi="Times New Roman" w:cs="Times New Roman"/>
        </w:rPr>
        <w:tab/>
        <w:t xml:space="preserve">This </w:t>
      </w:r>
      <w:r>
        <w:rPr>
          <w:rFonts w:ascii="Times New Roman" w:hAnsi="Times New Roman" w:cs="Times New Roman"/>
        </w:rPr>
        <w:t>analysis attempts to answer the question of whether the profitability of legal insider trades can be predicted using publicly available information. In other words, could a layperson reliably use certain indicators to match predicted profitable insider trades and</w:t>
      </w:r>
      <w:r w:rsidR="00860CE3">
        <w:rPr>
          <w:rFonts w:ascii="Times New Roman" w:hAnsi="Times New Roman" w:cs="Times New Roman"/>
        </w:rPr>
        <w:t xml:space="preserve"> potentially net</w:t>
      </w:r>
      <w:r>
        <w:rPr>
          <w:rFonts w:ascii="Times New Roman" w:hAnsi="Times New Roman" w:cs="Times New Roman"/>
        </w:rPr>
        <w:t xml:space="preserve"> a profit themselves?</w:t>
      </w:r>
      <w:r w:rsidR="00D552F6">
        <w:rPr>
          <w:rFonts w:ascii="Times New Roman" w:hAnsi="Times New Roman" w:cs="Times New Roman"/>
        </w:rPr>
        <w:t xml:space="preserve"> </w:t>
      </w:r>
      <w:r>
        <w:rPr>
          <w:rFonts w:ascii="Times New Roman" w:hAnsi="Times New Roman" w:cs="Times New Roman"/>
        </w:rPr>
        <w:t xml:space="preserve">In addition to the main question posed above, this analysis also attempts to answer </w:t>
      </w:r>
      <w:r w:rsidR="00324770">
        <w:rPr>
          <w:rFonts w:ascii="Times New Roman" w:hAnsi="Times New Roman" w:cs="Times New Roman"/>
        </w:rPr>
        <w:t>two</w:t>
      </w:r>
      <w:r>
        <w:rPr>
          <w:rFonts w:ascii="Times New Roman" w:hAnsi="Times New Roman" w:cs="Times New Roman"/>
        </w:rPr>
        <w:t xml:space="preserve"> tangential questions. First, do insider trades follow a daily trend? Second, which </w:t>
      </w:r>
      <w:r w:rsidR="00324770">
        <w:rPr>
          <w:rFonts w:ascii="Times New Roman" w:hAnsi="Times New Roman" w:cs="Times New Roman"/>
        </w:rPr>
        <w:t>S&amp;P 500</w:t>
      </w:r>
      <w:r>
        <w:rPr>
          <w:rFonts w:ascii="Times New Roman" w:hAnsi="Times New Roman" w:cs="Times New Roman"/>
        </w:rPr>
        <w:t xml:space="preserve"> sectors have the most </w:t>
      </w:r>
      <w:r w:rsidR="00860CE3">
        <w:rPr>
          <w:rFonts w:ascii="Times New Roman" w:hAnsi="Times New Roman" w:cs="Times New Roman"/>
        </w:rPr>
        <w:t xml:space="preserve">frequent and profitable </w:t>
      </w:r>
      <w:r>
        <w:rPr>
          <w:rFonts w:ascii="Times New Roman" w:hAnsi="Times New Roman" w:cs="Times New Roman"/>
        </w:rPr>
        <w:t xml:space="preserve">insider trading activity? </w:t>
      </w:r>
    </w:p>
    <w:p w14:paraId="3D1DD03C" w14:textId="3689C541" w:rsidR="007825E2" w:rsidRPr="00FC4EAF" w:rsidRDefault="007825E2" w:rsidP="00FC4EAF">
      <w:pPr>
        <w:spacing w:line="240" w:lineRule="auto"/>
        <w:rPr>
          <w:rFonts w:ascii="Times New Roman" w:hAnsi="Times New Roman" w:cs="Times New Roman"/>
          <w:b/>
          <w:bCs/>
        </w:rPr>
      </w:pPr>
      <w:r w:rsidRPr="00FC4EAF">
        <w:rPr>
          <w:rFonts w:ascii="Times New Roman" w:hAnsi="Times New Roman" w:cs="Times New Roman"/>
          <w:b/>
          <w:bCs/>
        </w:rPr>
        <w:t>Methods</w:t>
      </w:r>
    </w:p>
    <w:p w14:paraId="00E8FCCC" w14:textId="5DFDAB35" w:rsidR="00F833DB" w:rsidRDefault="00A422D1" w:rsidP="00A422D1">
      <w:pPr>
        <w:spacing w:line="24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The insider trading database used in this analysis contained insider trading data from January 1</w:t>
      </w:r>
      <w:r w:rsidRPr="00A422D1">
        <w:rPr>
          <w:rFonts w:ascii="Times New Roman" w:hAnsi="Times New Roman" w:cs="Times New Roman"/>
          <w:vertAlign w:val="superscript"/>
        </w:rPr>
        <w:t>st</w:t>
      </w:r>
      <w:r>
        <w:rPr>
          <w:rFonts w:ascii="Times New Roman" w:hAnsi="Times New Roman" w:cs="Times New Roman"/>
        </w:rPr>
        <w:t xml:space="preserve">, </w:t>
      </w:r>
      <w:r w:rsidR="00E06358">
        <w:rPr>
          <w:rFonts w:ascii="Times New Roman" w:hAnsi="Times New Roman" w:cs="Times New Roman"/>
        </w:rPr>
        <w:t>2023,</w:t>
      </w:r>
      <w:r>
        <w:rPr>
          <w:rFonts w:ascii="Times New Roman" w:hAnsi="Times New Roman" w:cs="Times New Roman"/>
        </w:rPr>
        <w:t xml:space="preserve"> to November 30</w:t>
      </w:r>
      <w:r w:rsidRPr="00A422D1">
        <w:rPr>
          <w:rFonts w:ascii="Times New Roman" w:hAnsi="Times New Roman" w:cs="Times New Roman"/>
          <w:vertAlign w:val="superscript"/>
        </w:rPr>
        <w:t>th</w:t>
      </w:r>
      <w:r>
        <w:rPr>
          <w:rFonts w:ascii="Times New Roman" w:hAnsi="Times New Roman" w:cs="Times New Roman"/>
        </w:rPr>
        <w:t xml:space="preserve">, 2023. The database combines daily insider trading transaction data from </w:t>
      </w:r>
      <w:hyperlink r:id="rId7" w:history="1">
        <w:r w:rsidRPr="00F833DB">
          <w:rPr>
            <w:rStyle w:val="Hyperlink"/>
            <w:rFonts w:ascii="Times New Roman" w:hAnsi="Times New Roman" w:cs="Times New Roman"/>
          </w:rPr>
          <w:t>OpenInsider.com</w:t>
        </w:r>
      </w:hyperlink>
      <w:r>
        <w:rPr>
          <w:rFonts w:ascii="Times New Roman" w:hAnsi="Times New Roman" w:cs="Times New Roman"/>
        </w:rPr>
        <w:t xml:space="preserve">, weekly consumer sentiment survey data from the </w:t>
      </w:r>
      <w:hyperlink r:id="rId8" w:history="1">
        <w:r w:rsidRPr="00F833DB">
          <w:rPr>
            <w:rStyle w:val="Hyperlink"/>
            <w:rFonts w:ascii="Times New Roman" w:hAnsi="Times New Roman" w:cs="Times New Roman"/>
          </w:rPr>
          <w:t>American Association of Individual Investors</w:t>
        </w:r>
      </w:hyperlink>
      <w:r w:rsidR="00F833DB">
        <w:rPr>
          <w:rFonts w:ascii="Times New Roman" w:hAnsi="Times New Roman" w:cs="Times New Roman"/>
        </w:rPr>
        <w:t xml:space="preserve"> (AAII)</w:t>
      </w:r>
      <w:r>
        <w:rPr>
          <w:rFonts w:ascii="Times New Roman" w:hAnsi="Times New Roman" w:cs="Times New Roman"/>
        </w:rPr>
        <w:t xml:space="preserve">, and stock ticker information from </w:t>
      </w:r>
      <w:hyperlink r:id="rId9" w:history="1">
        <w:r w:rsidRPr="00F833DB">
          <w:rPr>
            <w:rStyle w:val="Hyperlink"/>
            <w:rFonts w:ascii="Times New Roman" w:hAnsi="Times New Roman" w:cs="Times New Roman"/>
          </w:rPr>
          <w:t>Yahoo Finance</w:t>
        </w:r>
      </w:hyperlink>
      <w:r>
        <w:rPr>
          <w:rFonts w:ascii="Times New Roman" w:hAnsi="Times New Roman" w:cs="Times New Roman"/>
        </w:rPr>
        <w:t xml:space="preserve">. </w:t>
      </w:r>
    </w:p>
    <w:p w14:paraId="205018FB" w14:textId="3779FC0D" w:rsidR="00F833DB" w:rsidRDefault="00A422D1" w:rsidP="00F833DB">
      <w:pPr>
        <w:spacing w:line="240" w:lineRule="auto"/>
        <w:ind w:firstLine="360"/>
        <w:rPr>
          <w:rFonts w:ascii="Times New Roman" w:hAnsi="Times New Roman" w:cs="Times New Roman"/>
        </w:rPr>
      </w:pPr>
      <w:r>
        <w:rPr>
          <w:rFonts w:ascii="Times New Roman" w:hAnsi="Times New Roman" w:cs="Times New Roman"/>
        </w:rPr>
        <w:t>OpenInsider.com is a free, public website that compiles insider data obtained from the SEC EDGAR database, where insiders are required to file transaction reports.</w:t>
      </w:r>
      <w:r w:rsidR="00F833DB">
        <w:rPr>
          <w:rFonts w:ascii="Times New Roman" w:hAnsi="Times New Roman" w:cs="Times New Roman"/>
        </w:rPr>
        <w:t xml:space="preserve"> This data includes filing date (FDate), trade date (TDate), ticker, company, trade type, stock price (Price), share quantity (Qty), shares currently owned (Owned), percentage change in shares owned (OwnChange), trade value (Value)</w:t>
      </w:r>
      <w:r w:rsidR="005428B0">
        <w:rPr>
          <w:rFonts w:ascii="Times New Roman" w:hAnsi="Times New Roman" w:cs="Times New Roman"/>
        </w:rPr>
        <w:t>, and the time difference between TDate and FDate (FilingTime)</w:t>
      </w:r>
      <w:r w:rsidR="00F833DB">
        <w:rPr>
          <w:rFonts w:ascii="Times New Roman" w:hAnsi="Times New Roman" w:cs="Times New Roman"/>
        </w:rPr>
        <w:t>.</w:t>
      </w:r>
    </w:p>
    <w:p w14:paraId="0BCE873F" w14:textId="50A73318" w:rsidR="00A422D1" w:rsidRDefault="00F833DB" w:rsidP="00F833DB">
      <w:pPr>
        <w:spacing w:line="240" w:lineRule="auto"/>
        <w:ind w:firstLine="360"/>
        <w:rPr>
          <w:rFonts w:ascii="Times New Roman" w:hAnsi="Times New Roman" w:cs="Times New Roman"/>
        </w:rPr>
      </w:pPr>
      <w:r>
        <w:rPr>
          <w:rFonts w:ascii="Times New Roman" w:hAnsi="Times New Roman" w:cs="Times New Roman"/>
        </w:rPr>
        <w:t>The consumer sentiment survey data is released weekly by the AAII and asks individual investors whether they believe the</w:t>
      </w:r>
      <w:r w:rsidRPr="00F833DB">
        <w:t xml:space="preserve"> </w:t>
      </w:r>
      <w:r w:rsidRPr="00F833DB">
        <w:rPr>
          <w:rFonts w:ascii="Times New Roman" w:hAnsi="Times New Roman" w:cs="Times New Roman"/>
        </w:rPr>
        <w:t>direction of the stock market over the next six months will be up (bullish), no change (neutral)</w:t>
      </w:r>
      <w:r>
        <w:rPr>
          <w:rFonts w:ascii="Times New Roman" w:hAnsi="Times New Roman" w:cs="Times New Roman"/>
        </w:rPr>
        <w:t>,</w:t>
      </w:r>
      <w:r w:rsidRPr="00F833DB">
        <w:rPr>
          <w:rFonts w:ascii="Times New Roman" w:hAnsi="Times New Roman" w:cs="Times New Roman"/>
        </w:rPr>
        <w:t xml:space="preserve"> or down (bearish)</w:t>
      </w:r>
      <w:r>
        <w:rPr>
          <w:rFonts w:ascii="Times New Roman" w:hAnsi="Times New Roman" w:cs="Times New Roman"/>
        </w:rPr>
        <w:t>. Database variables pulled from this survey include bullish, neutral, bearish, bullish 8-week moving average, and bull-bear spread and are expressed as percentages.</w:t>
      </w:r>
    </w:p>
    <w:p w14:paraId="35488E57" w14:textId="53220B4F" w:rsidR="00F833DB" w:rsidRDefault="00F833DB" w:rsidP="00F833DB">
      <w:pPr>
        <w:spacing w:line="240" w:lineRule="auto"/>
        <w:ind w:firstLine="360"/>
        <w:rPr>
          <w:rFonts w:ascii="Times New Roman" w:hAnsi="Times New Roman" w:cs="Times New Roman"/>
        </w:rPr>
      </w:pPr>
      <w:r>
        <w:rPr>
          <w:rFonts w:ascii="Times New Roman" w:hAnsi="Times New Roman" w:cs="Times New Roman"/>
        </w:rPr>
        <w:t xml:space="preserve">The yahoo finance data is appended using the yfinance API, a non-affiliated API created by Ran Aroussi. </w:t>
      </w:r>
      <w:r w:rsidR="005428B0">
        <w:rPr>
          <w:rFonts w:ascii="Times New Roman" w:hAnsi="Times New Roman" w:cs="Times New Roman"/>
        </w:rPr>
        <w:t>The d</w:t>
      </w:r>
      <w:r>
        <w:rPr>
          <w:rFonts w:ascii="Times New Roman" w:hAnsi="Times New Roman" w:cs="Times New Roman"/>
        </w:rPr>
        <w:t>atabase variables</w:t>
      </w:r>
      <w:r w:rsidR="005428B0">
        <w:rPr>
          <w:rFonts w:ascii="Times New Roman" w:hAnsi="Times New Roman" w:cs="Times New Roman"/>
        </w:rPr>
        <w:t xml:space="preserve"> included</w:t>
      </w:r>
      <w:r>
        <w:rPr>
          <w:rFonts w:ascii="Times New Roman" w:hAnsi="Times New Roman" w:cs="Times New Roman"/>
        </w:rPr>
        <w:t xml:space="preserve"> from this </w:t>
      </w:r>
      <w:r w:rsidR="005428B0">
        <w:rPr>
          <w:rFonts w:ascii="Times New Roman" w:hAnsi="Times New Roman" w:cs="Times New Roman"/>
        </w:rPr>
        <w:t>source are the</w:t>
      </w:r>
      <w:r w:rsidR="0099772A">
        <w:rPr>
          <w:rFonts w:ascii="Times New Roman" w:hAnsi="Times New Roman" w:cs="Times New Roman"/>
        </w:rPr>
        <w:t xml:space="preserve"> incorporated state (State),</w:t>
      </w:r>
      <w:r w:rsidR="005428B0">
        <w:rPr>
          <w:rFonts w:ascii="Times New Roman" w:hAnsi="Times New Roman" w:cs="Times New Roman"/>
        </w:rPr>
        <w:t xml:space="preserve"> sector, industry, and market capitalization for each ticker and the S&amp;P 500 close for each TDate. This API was also used to calculate the two main dependent variables, percentage profit and dollar profit. Both profit variables were calculated for purchase transactions by taking the difference between the </w:t>
      </w:r>
      <w:r w:rsidR="00960D45">
        <w:rPr>
          <w:rFonts w:ascii="Times New Roman" w:hAnsi="Times New Roman" w:cs="Times New Roman"/>
        </w:rPr>
        <w:t>value at the TDate and the value at the</w:t>
      </w:r>
      <w:r w:rsidR="009F7211">
        <w:rPr>
          <w:rFonts w:ascii="Times New Roman" w:hAnsi="Times New Roman" w:cs="Times New Roman"/>
        </w:rPr>
        <w:t xml:space="preserve"> TDate plus 180 days or the November 30</w:t>
      </w:r>
      <w:r w:rsidR="009F7211" w:rsidRPr="009F7211">
        <w:rPr>
          <w:rFonts w:ascii="Times New Roman" w:hAnsi="Times New Roman" w:cs="Times New Roman"/>
          <w:vertAlign w:val="superscript"/>
        </w:rPr>
        <w:t>th</w:t>
      </w:r>
      <w:r w:rsidR="009F7211">
        <w:rPr>
          <w:rFonts w:ascii="Times New Roman" w:hAnsi="Times New Roman" w:cs="Times New Roman"/>
        </w:rPr>
        <w:t xml:space="preserve">, 2023 (whichever was earliest). </w:t>
      </w:r>
      <w:r w:rsidR="009F7211">
        <w:rPr>
          <w:rFonts w:ascii="Times New Roman" w:hAnsi="Times New Roman" w:cs="Times New Roman"/>
        </w:rPr>
        <w:t xml:space="preserve">Both profit variables were calculated for </w:t>
      </w:r>
      <w:r w:rsidR="009F7211">
        <w:rPr>
          <w:rFonts w:ascii="Times New Roman" w:hAnsi="Times New Roman" w:cs="Times New Roman"/>
        </w:rPr>
        <w:t>sale</w:t>
      </w:r>
      <w:r w:rsidR="009F7211">
        <w:rPr>
          <w:rFonts w:ascii="Times New Roman" w:hAnsi="Times New Roman" w:cs="Times New Roman"/>
        </w:rPr>
        <w:t xml:space="preserve"> transactions by taking the difference between the TDate </w:t>
      </w:r>
      <w:r w:rsidR="009F7211">
        <w:rPr>
          <w:rFonts w:ascii="Times New Roman" w:hAnsi="Times New Roman" w:cs="Times New Roman"/>
        </w:rPr>
        <w:t>minus</w:t>
      </w:r>
      <w:r w:rsidR="009F7211">
        <w:rPr>
          <w:rFonts w:ascii="Times New Roman" w:hAnsi="Times New Roman" w:cs="Times New Roman"/>
        </w:rPr>
        <w:t xml:space="preserve"> 180 days or </w:t>
      </w:r>
      <w:r w:rsidR="009F7211">
        <w:rPr>
          <w:rFonts w:ascii="Times New Roman" w:hAnsi="Times New Roman" w:cs="Times New Roman"/>
        </w:rPr>
        <w:t>January 1</w:t>
      </w:r>
      <w:r w:rsidR="009F7211" w:rsidRPr="009F7211">
        <w:rPr>
          <w:rFonts w:ascii="Times New Roman" w:hAnsi="Times New Roman" w:cs="Times New Roman"/>
          <w:vertAlign w:val="superscript"/>
        </w:rPr>
        <w:t>st</w:t>
      </w:r>
      <w:r w:rsidR="009F7211">
        <w:rPr>
          <w:rFonts w:ascii="Times New Roman" w:hAnsi="Times New Roman" w:cs="Times New Roman"/>
        </w:rPr>
        <w:t>, 2023 (whichever was latest) and the TDate. 180 days was chosen as it is the minimum holding period allowed for insiders between the purchase and sale of a security under Section 16</w:t>
      </w:r>
      <w:r w:rsidR="00D552F6">
        <w:rPr>
          <w:rFonts w:ascii="Times New Roman" w:hAnsi="Times New Roman" w:cs="Times New Roman"/>
        </w:rPr>
        <w:t>(</w:t>
      </w:r>
      <w:r w:rsidR="009F7211">
        <w:rPr>
          <w:rFonts w:ascii="Times New Roman" w:hAnsi="Times New Roman" w:cs="Times New Roman"/>
        </w:rPr>
        <w:t>b</w:t>
      </w:r>
      <w:r w:rsidR="00D552F6">
        <w:rPr>
          <w:rFonts w:ascii="Times New Roman" w:hAnsi="Times New Roman" w:cs="Times New Roman"/>
        </w:rPr>
        <w:t>)</w:t>
      </w:r>
      <w:r w:rsidR="009F7211">
        <w:rPr>
          <w:rFonts w:ascii="Times New Roman" w:hAnsi="Times New Roman" w:cs="Times New Roman"/>
        </w:rPr>
        <w:t xml:space="preserve"> of the Securities and Exchange Act.</w:t>
      </w:r>
    </w:p>
    <w:p w14:paraId="69484888" w14:textId="49F283F3" w:rsidR="009F7211" w:rsidRPr="00A422D1" w:rsidRDefault="009F7211" w:rsidP="00F833DB">
      <w:pPr>
        <w:spacing w:line="240" w:lineRule="auto"/>
        <w:ind w:firstLine="360"/>
        <w:rPr>
          <w:rFonts w:ascii="Times New Roman" w:hAnsi="Times New Roman" w:cs="Times New Roman"/>
        </w:rPr>
      </w:pPr>
      <w:r>
        <w:rPr>
          <w:rFonts w:ascii="Times New Roman" w:hAnsi="Times New Roman" w:cs="Times New Roman"/>
        </w:rPr>
        <w:t xml:space="preserve">The effect of database variables on the dollar profit or percentage profit of an insider trade was calculated </w:t>
      </w:r>
      <w:r w:rsidR="00FE0AA0">
        <w:rPr>
          <w:rFonts w:ascii="Times New Roman" w:hAnsi="Times New Roman" w:cs="Times New Roman"/>
        </w:rPr>
        <w:t>through</w:t>
      </w:r>
      <w:r>
        <w:rPr>
          <w:rFonts w:ascii="Times New Roman" w:hAnsi="Times New Roman" w:cs="Times New Roman"/>
        </w:rPr>
        <w:t xml:space="preserve"> multiple linear regression models</w:t>
      </w:r>
      <w:r w:rsidR="00FE0AA0">
        <w:rPr>
          <w:rFonts w:ascii="Times New Roman" w:hAnsi="Times New Roman" w:cs="Times New Roman"/>
        </w:rPr>
        <w:t xml:space="preserve"> using the ordinary least squares method. These regression models used recursive feature elimination (RFE) to maximize the R</w:t>
      </w:r>
      <w:r w:rsidR="00A354F5">
        <w:rPr>
          <w:rFonts w:ascii="Times New Roman" w:hAnsi="Times New Roman" w:cs="Times New Roman"/>
        </w:rPr>
        <w:t>-squared</w:t>
      </w:r>
      <w:r w:rsidR="00FE0AA0">
        <w:rPr>
          <w:rFonts w:ascii="Times New Roman" w:hAnsi="Times New Roman" w:cs="Times New Roman"/>
        </w:rPr>
        <w:t xml:space="preserve"> regression value.</w:t>
      </w:r>
      <w:r w:rsidR="0099772A">
        <w:rPr>
          <w:rFonts w:ascii="Times New Roman" w:hAnsi="Times New Roman" w:cs="Times New Roman"/>
        </w:rPr>
        <w:t xml:space="preserve"> Along with the numerical variables in the database, this regression included independent dummy variables for sector and state.</w:t>
      </w:r>
    </w:p>
    <w:p w14:paraId="44B9BB19" w14:textId="61C70346" w:rsidR="00FE0AA0" w:rsidRDefault="00FE0AA0" w:rsidP="00A354F5">
      <w:pPr>
        <w:spacing w:line="240" w:lineRule="auto"/>
        <w:ind w:firstLine="360"/>
        <w:rPr>
          <w:rFonts w:ascii="Times New Roman" w:hAnsi="Times New Roman" w:cs="Times New Roman"/>
        </w:rPr>
      </w:pPr>
      <w:r>
        <w:rPr>
          <w:rFonts w:ascii="Times New Roman" w:hAnsi="Times New Roman" w:cs="Times New Roman"/>
        </w:rPr>
        <w:t xml:space="preserve">The database included 52,771 total transactions composed of 13,640 purchases and 39,131 sales. </w:t>
      </w:r>
      <w:r w:rsidR="00324770">
        <w:rPr>
          <w:rFonts w:ascii="Times New Roman" w:hAnsi="Times New Roman" w:cs="Times New Roman"/>
        </w:rPr>
        <w:t>16,177 unique insiders conducted these trades</w:t>
      </w:r>
      <w:r>
        <w:rPr>
          <w:rFonts w:ascii="Times New Roman" w:hAnsi="Times New Roman" w:cs="Times New Roman"/>
        </w:rPr>
        <w:t>.</w:t>
      </w:r>
    </w:p>
    <w:p w14:paraId="50BCE750" w14:textId="73A2B9AB" w:rsidR="007825E2" w:rsidRPr="00FE0AA0" w:rsidRDefault="007825E2" w:rsidP="00FC4EAF">
      <w:pPr>
        <w:spacing w:line="240" w:lineRule="auto"/>
        <w:rPr>
          <w:rFonts w:ascii="Times New Roman" w:hAnsi="Times New Roman" w:cs="Times New Roman"/>
        </w:rPr>
      </w:pPr>
      <w:r w:rsidRPr="00FC4EAF">
        <w:rPr>
          <w:rFonts w:ascii="Times New Roman" w:hAnsi="Times New Roman" w:cs="Times New Roman"/>
          <w:b/>
          <w:bCs/>
        </w:rPr>
        <w:t>Results</w:t>
      </w:r>
    </w:p>
    <w:p w14:paraId="206E5D58" w14:textId="5AE63E3C" w:rsidR="00FE0AA0" w:rsidRPr="00373356" w:rsidRDefault="0099772A" w:rsidP="00373356">
      <w:pPr>
        <w:spacing w:line="240" w:lineRule="auto"/>
        <w:ind w:firstLine="720"/>
        <w:rPr>
          <w:rFonts w:ascii="Times New Roman" w:hAnsi="Times New Roman" w:cs="Times New Roman"/>
        </w:rPr>
      </w:pPr>
      <w:r>
        <w:rPr>
          <w:rFonts w:ascii="Times New Roman" w:hAnsi="Times New Roman" w:cs="Times New Roman"/>
        </w:rPr>
        <w:lastRenderedPageBreak/>
        <w:t>As seen in Figure 1, no independent individual numerical variable was significantly c</w:t>
      </w:r>
      <w:r w:rsidR="00FE0AA0" w:rsidRPr="0099772A">
        <w:rPr>
          <w:rFonts w:ascii="Times New Roman" w:hAnsi="Times New Roman" w:cs="Times New Roman"/>
        </w:rPr>
        <w:t>orrelat</w:t>
      </w:r>
      <w:r>
        <w:rPr>
          <w:rFonts w:ascii="Times New Roman" w:hAnsi="Times New Roman" w:cs="Times New Roman"/>
        </w:rPr>
        <w:t xml:space="preserve">ed to percentage profit or dollar profit. Additionally, the relationships between any one numerical variable and another did not exceed |0.27|, except for those that exhibited collinearity. The percentage profit RFE regression yielded a maximum R-squared value of 0.00219 with 81 features (variables included). The percentage profit residuals graph reflects this low R-squared value, as seen in Figure 2. The dollar profit RFE regression yielded a maximum R-squared value of 0.02284 with 82 features. </w:t>
      </w:r>
      <w:r>
        <w:rPr>
          <w:rFonts w:ascii="Times New Roman" w:hAnsi="Times New Roman" w:cs="Times New Roman"/>
        </w:rPr>
        <w:t xml:space="preserve">The </w:t>
      </w:r>
      <w:r>
        <w:rPr>
          <w:rFonts w:ascii="Times New Roman" w:hAnsi="Times New Roman" w:cs="Times New Roman"/>
        </w:rPr>
        <w:t xml:space="preserve">dollar profit </w:t>
      </w:r>
      <w:r>
        <w:rPr>
          <w:rFonts w:ascii="Times New Roman" w:hAnsi="Times New Roman" w:cs="Times New Roman"/>
        </w:rPr>
        <w:t xml:space="preserve">residuals graph reflects this low R-squared value, as seen in Figure </w:t>
      </w:r>
      <w:r>
        <w:rPr>
          <w:rFonts w:ascii="Times New Roman" w:hAnsi="Times New Roman" w:cs="Times New Roman"/>
        </w:rPr>
        <w:t>3</w:t>
      </w:r>
      <w:r>
        <w:rPr>
          <w:rFonts w:ascii="Times New Roman" w:hAnsi="Times New Roman" w:cs="Times New Roman"/>
        </w:rPr>
        <w:t>.</w:t>
      </w:r>
      <w:r>
        <w:rPr>
          <w:rFonts w:ascii="Times New Roman" w:hAnsi="Times New Roman" w:cs="Times New Roman"/>
        </w:rPr>
        <w:t xml:space="preserve"> </w:t>
      </w:r>
    </w:p>
    <w:p w14:paraId="4CAD8656" w14:textId="7C30FB6B" w:rsidR="00373356" w:rsidRPr="00373356" w:rsidRDefault="00373356" w:rsidP="00373356">
      <w:pPr>
        <w:spacing w:line="240" w:lineRule="auto"/>
        <w:rPr>
          <w:rFonts w:ascii="Times New Roman" w:hAnsi="Times New Roman" w:cs="Times New Roman"/>
        </w:rPr>
      </w:pPr>
      <w:r>
        <w:rPr>
          <w:rFonts w:ascii="Times New Roman" w:hAnsi="Times New Roman" w:cs="Times New Roman"/>
        </w:rPr>
        <w:tab/>
        <w:t>As shown in Figure 4, sales appeared to occur primarily at the beginning of each month with another spike around the 7</w:t>
      </w:r>
      <w:r w:rsidRPr="00373356">
        <w:rPr>
          <w:rFonts w:ascii="Times New Roman" w:hAnsi="Times New Roman" w:cs="Times New Roman"/>
          <w:vertAlign w:val="superscript"/>
        </w:rPr>
        <w:t>th</w:t>
      </w:r>
      <w:r>
        <w:rPr>
          <w:rFonts w:ascii="Times New Roman" w:hAnsi="Times New Roman" w:cs="Times New Roman"/>
        </w:rPr>
        <w:t xml:space="preserve"> and around the 17</w:t>
      </w:r>
      <w:r w:rsidRPr="00373356">
        <w:rPr>
          <w:rFonts w:ascii="Times New Roman" w:hAnsi="Times New Roman" w:cs="Times New Roman"/>
          <w:vertAlign w:val="superscript"/>
        </w:rPr>
        <w:t>th</w:t>
      </w:r>
      <w:r>
        <w:rPr>
          <w:rFonts w:ascii="Times New Roman" w:hAnsi="Times New Roman" w:cs="Times New Roman"/>
        </w:rPr>
        <w:t xml:space="preserve"> of each month. Purchases were more metered, with small spikes on the 3</w:t>
      </w:r>
      <w:r w:rsidRPr="00373356">
        <w:rPr>
          <w:rFonts w:ascii="Times New Roman" w:hAnsi="Times New Roman" w:cs="Times New Roman"/>
          <w:vertAlign w:val="superscript"/>
        </w:rPr>
        <w:t>rd</w:t>
      </w:r>
      <w:r>
        <w:rPr>
          <w:rFonts w:ascii="Times New Roman" w:hAnsi="Times New Roman" w:cs="Times New Roman"/>
        </w:rPr>
        <w:t xml:space="preserve"> and 15</w:t>
      </w:r>
      <w:r w:rsidRPr="00373356">
        <w:rPr>
          <w:rFonts w:ascii="Times New Roman" w:hAnsi="Times New Roman" w:cs="Times New Roman"/>
          <w:vertAlign w:val="superscript"/>
        </w:rPr>
        <w:t>th</w:t>
      </w:r>
      <w:r>
        <w:rPr>
          <w:rFonts w:ascii="Times New Roman" w:hAnsi="Times New Roman" w:cs="Times New Roman"/>
        </w:rPr>
        <w:t xml:space="preserve"> of each month. Additionally, sales overwhelmingly occurred at the beginning of 2023. </w:t>
      </w:r>
    </w:p>
    <w:p w14:paraId="01ABF6FC" w14:textId="1FAD5657" w:rsidR="00E16307" w:rsidRPr="00373356" w:rsidRDefault="00373356" w:rsidP="00373356">
      <w:pPr>
        <w:spacing w:line="240" w:lineRule="auto"/>
        <w:rPr>
          <w:rFonts w:ascii="Times New Roman" w:hAnsi="Times New Roman" w:cs="Times New Roman"/>
        </w:rPr>
      </w:pPr>
      <w:r>
        <w:rPr>
          <w:rFonts w:ascii="Times New Roman" w:hAnsi="Times New Roman" w:cs="Times New Roman"/>
        </w:rPr>
        <w:tab/>
        <w:t xml:space="preserve">As shown in Figure 5, </w:t>
      </w:r>
      <w:r w:rsidR="00E16307">
        <w:rPr>
          <w:rFonts w:ascii="Times New Roman" w:hAnsi="Times New Roman" w:cs="Times New Roman"/>
        </w:rPr>
        <w:t xml:space="preserve">consumer cyclical was the sector with the highest </w:t>
      </w:r>
      <w:r w:rsidR="00AE4389">
        <w:rPr>
          <w:rFonts w:ascii="Times New Roman" w:hAnsi="Times New Roman" w:cs="Times New Roman"/>
        </w:rPr>
        <w:t>median</w:t>
      </w:r>
      <w:r w:rsidR="00E16307">
        <w:rPr>
          <w:rFonts w:ascii="Times New Roman" w:hAnsi="Times New Roman" w:cs="Times New Roman"/>
        </w:rPr>
        <w:t xml:space="preserve"> profit</w:t>
      </w:r>
      <w:r w:rsidR="00AE4389">
        <w:rPr>
          <w:rFonts w:ascii="Times New Roman" w:hAnsi="Times New Roman" w:cs="Times New Roman"/>
        </w:rPr>
        <w:t xml:space="preserve">, while real estate had the highest median </w:t>
      </w:r>
      <w:r w:rsidR="00E16307">
        <w:rPr>
          <w:rFonts w:ascii="Times New Roman" w:hAnsi="Times New Roman" w:cs="Times New Roman"/>
        </w:rPr>
        <w:t xml:space="preserve">dollar profit. As shown in </w:t>
      </w:r>
      <w:r w:rsidR="00E16307">
        <w:rPr>
          <w:rFonts w:ascii="Times New Roman" w:hAnsi="Times New Roman" w:cs="Times New Roman"/>
        </w:rPr>
        <w:t xml:space="preserve">Figure 6 </w:t>
      </w:r>
      <w:r w:rsidR="00E16307">
        <w:rPr>
          <w:rFonts w:ascii="Times New Roman" w:hAnsi="Times New Roman" w:cs="Times New Roman"/>
        </w:rPr>
        <w:t xml:space="preserve">, the technology sector amassed </w:t>
      </w:r>
      <w:r w:rsidR="00E06358">
        <w:rPr>
          <w:rFonts w:ascii="Times New Roman" w:hAnsi="Times New Roman" w:cs="Times New Roman"/>
        </w:rPr>
        <w:t>the greatest</w:t>
      </w:r>
      <w:r w:rsidR="00E16307">
        <w:rPr>
          <w:rFonts w:ascii="Times New Roman" w:hAnsi="Times New Roman" w:cs="Times New Roman"/>
        </w:rPr>
        <w:t xml:space="preserve"> </w:t>
      </w:r>
      <w:r w:rsidR="00E06358">
        <w:rPr>
          <w:rFonts w:ascii="Times New Roman" w:hAnsi="Times New Roman" w:cs="Times New Roman"/>
        </w:rPr>
        <w:t>number</w:t>
      </w:r>
      <w:r w:rsidR="00E16307">
        <w:rPr>
          <w:rFonts w:ascii="Times New Roman" w:hAnsi="Times New Roman" w:cs="Times New Roman"/>
        </w:rPr>
        <w:t xml:space="preserve"> of sale transactions while the financial services sector amassed the greatest </w:t>
      </w:r>
      <w:r w:rsidR="00E06358">
        <w:rPr>
          <w:rFonts w:ascii="Times New Roman" w:hAnsi="Times New Roman" w:cs="Times New Roman"/>
        </w:rPr>
        <w:t>number</w:t>
      </w:r>
      <w:r w:rsidR="00E16307">
        <w:rPr>
          <w:rFonts w:ascii="Times New Roman" w:hAnsi="Times New Roman" w:cs="Times New Roman"/>
        </w:rPr>
        <w:t xml:space="preserve"> of purchase transactions over the period studied</w:t>
      </w:r>
      <w:r w:rsidR="00A354F5">
        <w:rPr>
          <w:rFonts w:ascii="Times New Roman" w:hAnsi="Times New Roman" w:cs="Times New Roman"/>
        </w:rPr>
        <w:t>.</w:t>
      </w:r>
      <w:r w:rsidR="00E16307">
        <w:rPr>
          <w:rFonts w:ascii="Times New Roman" w:hAnsi="Times New Roman" w:cs="Times New Roman"/>
        </w:rPr>
        <w:tab/>
      </w:r>
    </w:p>
    <w:p w14:paraId="3340A25B" w14:textId="69A99C0D" w:rsidR="007825E2" w:rsidRPr="00FC4EAF" w:rsidRDefault="007825E2" w:rsidP="00FC4EAF">
      <w:pPr>
        <w:spacing w:line="240" w:lineRule="auto"/>
        <w:rPr>
          <w:rFonts w:ascii="Times New Roman" w:hAnsi="Times New Roman" w:cs="Times New Roman"/>
          <w:b/>
          <w:bCs/>
        </w:rPr>
      </w:pPr>
      <w:r w:rsidRPr="00FC4EAF">
        <w:rPr>
          <w:rFonts w:ascii="Times New Roman" w:hAnsi="Times New Roman" w:cs="Times New Roman"/>
          <w:b/>
          <w:bCs/>
        </w:rPr>
        <w:t>Conclusions</w:t>
      </w:r>
    </w:p>
    <w:p w14:paraId="3E4140C4" w14:textId="30F908AE" w:rsidR="00E16307" w:rsidRPr="00E16307" w:rsidRDefault="00E16307" w:rsidP="00E16307">
      <w:pPr>
        <w:spacing w:line="24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Unfortunately, no independent variable included in the study could reliably explain the variability of the profitability of insider trades. Thus, none of the variables used as independent variables in the regressions in this study should be </w:t>
      </w:r>
      <w:r w:rsidR="000077D2">
        <w:rPr>
          <w:rFonts w:ascii="Times New Roman" w:hAnsi="Times New Roman" w:cs="Times New Roman"/>
        </w:rPr>
        <w:t>used to predict the profitability of insider trade</w:t>
      </w:r>
      <w:r w:rsidR="00A14C89">
        <w:rPr>
          <w:rFonts w:ascii="Times New Roman" w:hAnsi="Times New Roman" w:cs="Times New Roman"/>
        </w:rPr>
        <w:t xml:space="preserve">s. Additionally, </w:t>
      </w:r>
      <w:r w:rsidR="00AE4389">
        <w:rPr>
          <w:rFonts w:ascii="Times New Roman" w:hAnsi="Times New Roman" w:cs="Times New Roman"/>
        </w:rPr>
        <w:t xml:space="preserve">the consumer cyclical and real estate sectors were the most profitable </w:t>
      </w:r>
      <w:r w:rsidR="00682110">
        <w:rPr>
          <w:rFonts w:ascii="Times New Roman" w:hAnsi="Times New Roman" w:cs="Times New Roman"/>
        </w:rPr>
        <w:t xml:space="preserve">sectors </w:t>
      </w:r>
      <w:r w:rsidR="00AE4389">
        <w:rPr>
          <w:rFonts w:ascii="Times New Roman" w:hAnsi="Times New Roman" w:cs="Times New Roman"/>
        </w:rPr>
        <w:t>by percentage and dollar profit, respectively. Finally,</w:t>
      </w:r>
      <w:r w:rsidR="00A14C89">
        <w:rPr>
          <w:rFonts w:ascii="Times New Roman" w:hAnsi="Times New Roman" w:cs="Times New Roman"/>
        </w:rPr>
        <w:t xml:space="preserve"> insiders overwhelmingly sold at the beginning of 2023, with the majority of those sales occurring in the technology sector.</w:t>
      </w:r>
    </w:p>
    <w:p w14:paraId="65F9A477" w14:textId="5EEEEE3D" w:rsidR="00860CE3" w:rsidRDefault="00A14C89" w:rsidP="00FC4EAF">
      <w:pPr>
        <w:spacing w:line="240" w:lineRule="auto"/>
        <w:rPr>
          <w:rFonts w:ascii="Times New Roman" w:hAnsi="Times New Roman" w:cs="Times New Roman"/>
        </w:rPr>
      </w:pPr>
      <w:r>
        <w:rPr>
          <w:rFonts w:ascii="Times New Roman" w:hAnsi="Times New Roman" w:cs="Times New Roman"/>
        </w:rPr>
        <w:tab/>
        <w:t xml:space="preserve">This study certainly had a </w:t>
      </w:r>
      <w:r w:rsidR="00682110">
        <w:rPr>
          <w:rFonts w:ascii="Times New Roman" w:hAnsi="Times New Roman" w:cs="Times New Roman"/>
        </w:rPr>
        <w:t>some</w:t>
      </w:r>
      <w:r>
        <w:rPr>
          <w:rFonts w:ascii="Times New Roman" w:hAnsi="Times New Roman" w:cs="Times New Roman"/>
        </w:rPr>
        <w:t xml:space="preserve"> shortcomings. The first was an element of multi-collinearity between some independent variables in the regression calculations, with the consumer sentiment survey data variables of particular note. Additionally, the period studied only included 11 months of data. Finally, the profitability calculation is relatively vague and generalized. </w:t>
      </w:r>
      <w:r w:rsidR="00860CE3">
        <w:rPr>
          <w:rFonts w:ascii="Times New Roman" w:hAnsi="Times New Roman" w:cs="Times New Roman"/>
        </w:rPr>
        <w:t>However, o</w:t>
      </w:r>
      <w:r>
        <w:rPr>
          <w:rFonts w:ascii="Times New Roman" w:hAnsi="Times New Roman" w:cs="Times New Roman"/>
        </w:rPr>
        <w:t>nly 0.8% of insiders in the database purchased a security and subsequently sold that security in the period studied, meaning using these “round-trip” trades for profitability values would have yielded a smaller database than desired for model accuracy.</w:t>
      </w:r>
    </w:p>
    <w:p w14:paraId="09FB4EDA" w14:textId="5653A335" w:rsidR="00A46946" w:rsidRPr="00FC4EAF" w:rsidRDefault="00860CE3" w:rsidP="00FC4EAF">
      <w:pPr>
        <w:spacing w:line="240" w:lineRule="auto"/>
        <w:rPr>
          <w:rFonts w:ascii="Times New Roman" w:hAnsi="Times New Roman" w:cs="Times New Roman"/>
        </w:rPr>
      </w:pPr>
      <w:r>
        <w:rPr>
          <w:rFonts w:ascii="Times New Roman" w:hAnsi="Times New Roman" w:cs="Times New Roman"/>
        </w:rPr>
        <w:tab/>
        <w:t xml:space="preserve">Future analysis along the guidelines of this study could use a more reliable insider trade transaction database, such as the paid database compiled by Thomas Reuters. Future analysis should also use a larger timeframe to account for potential seasonal variation. Finally, future researchers could account for recent insider trading regulation changes, such as the Rule 10b5-1 amendments to the Securities Exchange Act </w:t>
      </w:r>
      <w:r w:rsidR="00682110">
        <w:rPr>
          <w:rFonts w:ascii="Times New Roman" w:hAnsi="Times New Roman" w:cs="Times New Roman"/>
        </w:rPr>
        <w:t xml:space="preserve">adopted </w:t>
      </w:r>
      <w:r>
        <w:rPr>
          <w:rFonts w:ascii="Times New Roman" w:hAnsi="Times New Roman" w:cs="Times New Roman"/>
        </w:rPr>
        <w:t>in December of 2022.</w:t>
      </w:r>
    </w:p>
    <w:p w14:paraId="46E77EA4" w14:textId="77777777" w:rsidR="00A354F5" w:rsidRDefault="00A354F5" w:rsidP="00FC4EAF">
      <w:pPr>
        <w:spacing w:line="240" w:lineRule="auto"/>
        <w:jc w:val="center"/>
        <w:rPr>
          <w:rFonts w:ascii="Times New Roman" w:hAnsi="Times New Roman" w:cs="Times New Roman"/>
          <w:b/>
          <w:bCs/>
        </w:rPr>
      </w:pPr>
    </w:p>
    <w:p w14:paraId="1A890E9C" w14:textId="77777777" w:rsidR="00A354F5" w:rsidRDefault="00A354F5" w:rsidP="00FC4EAF">
      <w:pPr>
        <w:spacing w:line="240" w:lineRule="auto"/>
        <w:jc w:val="center"/>
        <w:rPr>
          <w:rFonts w:ascii="Times New Roman" w:hAnsi="Times New Roman" w:cs="Times New Roman"/>
          <w:b/>
          <w:bCs/>
        </w:rPr>
      </w:pPr>
    </w:p>
    <w:p w14:paraId="48293036" w14:textId="77777777" w:rsidR="00A354F5" w:rsidRDefault="00A354F5" w:rsidP="00FC4EAF">
      <w:pPr>
        <w:spacing w:line="240" w:lineRule="auto"/>
        <w:jc w:val="center"/>
        <w:rPr>
          <w:rFonts w:ascii="Times New Roman" w:hAnsi="Times New Roman" w:cs="Times New Roman"/>
          <w:b/>
          <w:bCs/>
        </w:rPr>
      </w:pPr>
    </w:p>
    <w:p w14:paraId="6DB9BD83" w14:textId="77777777" w:rsidR="00A354F5" w:rsidRDefault="00A354F5" w:rsidP="00FC4EAF">
      <w:pPr>
        <w:spacing w:line="240" w:lineRule="auto"/>
        <w:jc w:val="center"/>
        <w:rPr>
          <w:rFonts w:ascii="Times New Roman" w:hAnsi="Times New Roman" w:cs="Times New Roman"/>
          <w:b/>
          <w:bCs/>
        </w:rPr>
      </w:pPr>
    </w:p>
    <w:p w14:paraId="140010E6" w14:textId="77777777" w:rsidR="00A354F5" w:rsidRDefault="00A354F5" w:rsidP="00FC4EAF">
      <w:pPr>
        <w:spacing w:line="240" w:lineRule="auto"/>
        <w:jc w:val="center"/>
        <w:rPr>
          <w:rFonts w:ascii="Times New Roman" w:hAnsi="Times New Roman" w:cs="Times New Roman"/>
          <w:b/>
          <w:bCs/>
        </w:rPr>
      </w:pPr>
    </w:p>
    <w:p w14:paraId="2C9D0600" w14:textId="77777777" w:rsidR="00A354F5" w:rsidRDefault="00A354F5" w:rsidP="00FC4EAF">
      <w:pPr>
        <w:spacing w:line="240" w:lineRule="auto"/>
        <w:jc w:val="center"/>
        <w:rPr>
          <w:rFonts w:ascii="Times New Roman" w:hAnsi="Times New Roman" w:cs="Times New Roman"/>
          <w:b/>
          <w:bCs/>
        </w:rPr>
      </w:pPr>
    </w:p>
    <w:p w14:paraId="4419480C" w14:textId="77777777" w:rsidR="00A354F5" w:rsidRDefault="00A354F5" w:rsidP="00FC4EAF">
      <w:pPr>
        <w:spacing w:line="240" w:lineRule="auto"/>
        <w:jc w:val="center"/>
        <w:rPr>
          <w:rFonts w:ascii="Times New Roman" w:hAnsi="Times New Roman" w:cs="Times New Roman"/>
          <w:b/>
          <w:bCs/>
        </w:rPr>
      </w:pPr>
    </w:p>
    <w:p w14:paraId="31F55948" w14:textId="77777777" w:rsidR="00A354F5" w:rsidRDefault="00A354F5" w:rsidP="00FC4EAF">
      <w:pPr>
        <w:spacing w:line="240" w:lineRule="auto"/>
        <w:jc w:val="center"/>
        <w:rPr>
          <w:rFonts w:ascii="Times New Roman" w:hAnsi="Times New Roman" w:cs="Times New Roman"/>
          <w:b/>
          <w:bCs/>
        </w:rPr>
      </w:pPr>
    </w:p>
    <w:p w14:paraId="2E14EBAB" w14:textId="3C7364F8" w:rsidR="002175F2" w:rsidRDefault="004D1274" w:rsidP="00FC4EAF">
      <w:pPr>
        <w:spacing w:line="240" w:lineRule="auto"/>
        <w:jc w:val="center"/>
        <w:rPr>
          <w:rFonts w:ascii="Times New Roman" w:hAnsi="Times New Roman" w:cs="Times New Roman"/>
          <w:b/>
          <w:bCs/>
        </w:rPr>
      </w:pPr>
      <w:r w:rsidRPr="00FC4EAF">
        <w:rPr>
          <w:rFonts w:ascii="Times New Roman" w:hAnsi="Times New Roman" w:cs="Times New Roman"/>
          <w:b/>
          <w:bCs/>
        </w:rPr>
        <w:lastRenderedPageBreak/>
        <w:t>Appendix</w:t>
      </w:r>
    </w:p>
    <w:p w14:paraId="7BEC34DC" w14:textId="2D5B41BE" w:rsidR="0099772A" w:rsidRDefault="0099772A" w:rsidP="00FC4EAF">
      <w:pPr>
        <w:spacing w:line="240" w:lineRule="auto"/>
        <w:jc w:val="center"/>
        <w:rPr>
          <w:rFonts w:ascii="Times New Roman" w:hAnsi="Times New Roman" w:cs="Times New Roman"/>
          <w:b/>
          <w:bCs/>
        </w:rPr>
      </w:pPr>
      <w:r>
        <w:rPr>
          <w:rFonts w:ascii="Times New Roman" w:hAnsi="Times New Roman" w:cs="Times New Roman"/>
          <w:b/>
          <w:bCs/>
        </w:rPr>
        <w:t xml:space="preserve">Figure 1: </w:t>
      </w:r>
      <w:r w:rsidR="001E038D">
        <w:rPr>
          <w:rFonts w:ascii="Times New Roman" w:hAnsi="Times New Roman" w:cs="Times New Roman"/>
          <w:b/>
          <w:bCs/>
        </w:rPr>
        <w:t>Regression Variable Correlation Heatmap</w:t>
      </w:r>
    </w:p>
    <w:p w14:paraId="532F4493" w14:textId="30FE5A9B" w:rsidR="0099772A" w:rsidRDefault="003A344A" w:rsidP="003A344A">
      <w:pPr>
        <w:spacing w:line="240" w:lineRule="auto"/>
        <w:ind w:right="-720" w:hanging="720"/>
        <w:jc w:val="center"/>
        <w:rPr>
          <w:rFonts w:ascii="Times New Roman" w:hAnsi="Times New Roman" w:cs="Times New Roman"/>
          <w:b/>
          <w:bCs/>
        </w:rPr>
      </w:pPr>
      <w:r>
        <w:rPr>
          <w:noProof/>
        </w:rPr>
        <w:drawing>
          <wp:inline distT="0" distB="0" distL="0" distR="0" wp14:anchorId="6F4BF13D" wp14:editId="105707BB">
            <wp:extent cx="6765342" cy="3998491"/>
            <wp:effectExtent l="0" t="0" r="0" b="2540"/>
            <wp:docPr id="1930731214" name="Picture 14" descr="A chart with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31214" name="Picture 14" descr="A chart with numbers and symbols&#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07058" cy="4023146"/>
                    </a:xfrm>
                    <a:prstGeom prst="rect">
                      <a:avLst/>
                    </a:prstGeom>
                    <a:noFill/>
                    <a:ln>
                      <a:noFill/>
                    </a:ln>
                  </pic:spPr>
                </pic:pic>
              </a:graphicData>
            </a:graphic>
          </wp:inline>
        </w:drawing>
      </w:r>
    </w:p>
    <w:p w14:paraId="679A1038" w14:textId="0CD2A432" w:rsidR="00D552F6" w:rsidRPr="00FC4EAF" w:rsidRDefault="00D552F6" w:rsidP="00D552F6">
      <w:pPr>
        <w:spacing w:line="240" w:lineRule="auto"/>
        <w:rPr>
          <w:rFonts w:ascii="Times New Roman" w:hAnsi="Times New Roman" w:cs="Times New Roman"/>
        </w:rPr>
      </w:pPr>
      <w:r w:rsidRPr="00FC4EAF">
        <w:rPr>
          <w:rFonts w:ascii="Times New Roman" w:hAnsi="Times New Roman" w:cs="Times New Roman"/>
          <w:b/>
          <w:bCs/>
        </w:rPr>
        <w:t>Figure 1.</w:t>
      </w:r>
      <w:r w:rsidRPr="00FC4EAF">
        <w:rPr>
          <w:rFonts w:ascii="Times New Roman" w:hAnsi="Times New Roman" w:cs="Times New Roman"/>
        </w:rPr>
        <w:t xml:space="preserve"> This figure details </w:t>
      </w:r>
      <w:r w:rsidR="00EA682B">
        <w:rPr>
          <w:rFonts w:ascii="Times New Roman" w:hAnsi="Times New Roman" w:cs="Times New Roman"/>
        </w:rPr>
        <w:t xml:space="preserve">the correlation coefficients between notable numerical variables in the </w:t>
      </w:r>
      <w:r w:rsidR="00C035DF">
        <w:rPr>
          <w:rFonts w:ascii="Times New Roman" w:hAnsi="Times New Roman" w:cs="Times New Roman"/>
        </w:rPr>
        <w:t xml:space="preserve">insider trading </w:t>
      </w:r>
      <w:r w:rsidR="00EA682B">
        <w:rPr>
          <w:rFonts w:ascii="Times New Roman" w:hAnsi="Times New Roman" w:cs="Times New Roman"/>
        </w:rPr>
        <w:t>database. The bullish, neutral, bearish, bullish 8-week moving average, and bull-bear spread are all collinear consumer sentiment variables, and the relationships are not significant in this analysis. Additionally, those consumer sentiment variables are related to the S&amp;P 500 close, another relationship not significant to this analysis.</w:t>
      </w:r>
    </w:p>
    <w:p w14:paraId="00B58B88" w14:textId="66C648CC" w:rsidR="0099772A" w:rsidRDefault="0099772A" w:rsidP="0099772A">
      <w:pPr>
        <w:spacing w:line="240" w:lineRule="auto"/>
        <w:jc w:val="center"/>
        <w:rPr>
          <w:rFonts w:ascii="Times New Roman" w:hAnsi="Times New Roman" w:cs="Times New Roman"/>
          <w:b/>
          <w:bCs/>
        </w:rPr>
      </w:pPr>
      <w:r>
        <w:rPr>
          <w:rFonts w:ascii="Times New Roman" w:hAnsi="Times New Roman" w:cs="Times New Roman"/>
          <w:b/>
          <w:bCs/>
        </w:rPr>
        <w:t xml:space="preserve">Figure </w:t>
      </w:r>
      <w:r>
        <w:rPr>
          <w:rFonts w:ascii="Times New Roman" w:hAnsi="Times New Roman" w:cs="Times New Roman"/>
          <w:b/>
          <w:bCs/>
        </w:rPr>
        <w:t>2</w:t>
      </w:r>
      <w:r>
        <w:rPr>
          <w:rFonts w:ascii="Times New Roman" w:hAnsi="Times New Roman" w:cs="Times New Roman"/>
          <w:b/>
          <w:bCs/>
        </w:rPr>
        <w:t>:</w:t>
      </w:r>
      <w:r w:rsidR="001E038D">
        <w:rPr>
          <w:rFonts w:ascii="Times New Roman" w:hAnsi="Times New Roman" w:cs="Times New Roman"/>
          <w:b/>
          <w:bCs/>
        </w:rPr>
        <w:t xml:space="preserve"> Percentage Profit Residual Analysis</w:t>
      </w:r>
    </w:p>
    <w:p w14:paraId="1F8AE6B7" w14:textId="5D2EB1D6" w:rsidR="0090102F" w:rsidRDefault="0090102F" w:rsidP="002C76C2">
      <w:pPr>
        <w:spacing w:line="240" w:lineRule="auto"/>
        <w:ind w:right="-720" w:hanging="720"/>
        <w:jc w:val="center"/>
        <w:rPr>
          <w:rFonts w:ascii="Times New Roman" w:hAnsi="Times New Roman" w:cs="Times New Roman"/>
          <w:b/>
          <w:bCs/>
        </w:rPr>
      </w:pPr>
      <w:r>
        <w:rPr>
          <w:noProof/>
        </w:rPr>
        <w:drawing>
          <wp:inline distT="0" distB="0" distL="0" distR="0" wp14:anchorId="59B95C47" wp14:editId="4E15D564">
            <wp:extent cx="6176117" cy="2428875"/>
            <wp:effectExtent l="0" t="0" r="0" b="0"/>
            <wp:docPr id="1484393107" name="Picture 20" descr="A comparison of a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93107" name="Picture 20" descr="A comparison of a plo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93626" cy="2514414"/>
                    </a:xfrm>
                    <a:prstGeom prst="rect">
                      <a:avLst/>
                    </a:prstGeom>
                    <a:noFill/>
                    <a:ln>
                      <a:noFill/>
                    </a:ln>
                  </pic:spPr>
                </pic:pic>
              </a:graphicData>
            </a:graphic>
          </wp:inline>
        </w:drawing>
      </w:r>
    </w:p>
    <w:p w14:paraId="79297F07" w14:textId="3554DFCA" w:rsidR="00D552F6" w:rsidRPr="00FC4EAF" w:rsidRDefault="00D552F6" w:rsidP="00D552F6">
      <w:pPr>
        <w:spacing w:line="240" w:lineRule="auto"/>
        <w:rPr>
          <w:rFonts w:ascii="Times New Roman" w:hAnsi="Times New Roman" w:cs="Times New Roman"/>
        </w:rPr>
      </w:pPr>
      <w:r w:rsidRPr="00FC4EAF">
        <w:rPr>
          <w:rFonts w:ascii="Times New Roman" w:hAnsi="Times New Roman" w:cs="Times New Roman"/>
          <w:b/>
          <w:bCs/>
        </w:rPr>
        <w:lastRenderedPageBreak/>
        <w:t xml:space="preserve">Figure </w:t>
      </w:r>
      <w:r w:rsidR="00881483">
        <w:rPr>
          <w:rFonts w:ascii="Times New Roman" w:hAnsi="Times New Roman" w:cs="Times New Roman"/>
          <w:b/>
          <w:bCs/>
        </w:rPr>
        <w:t>2</w:t>
      </w:r>
      <w:r w:rsidRPr="00FC4EAF">
        <w:rPr>
          <w:rFonts w:ascii="Times New Roman" w:hAnsi="Times New Roman" w:cs="Times New Roman"/>
          <w:b/>
          <w:bCs/>
        </w:rPr>
        <w:t>.</w:t>
      </w:r>
      <w:r w:rsidRPr="00FC4EAF">
        <w:rPr>
          <w:rFonts w:ascii="Times New Roman" w:hAnsi="Times New Roman" w:cs="Times New Roman"/>
        </w:rPr>
        <w:t xml:space="preserve"> This figure details </w:t>
      </w:r>
      <w:r w:rsidR="00EA682B">
        <w:rPr>
          <w:rFonts w:ascii="Times New Roman" w:hAnsi="Times New Roman" w:cs="Times New Roman"/>
        </w:rPr>
        <w:t>the residuals</w:t>
      </w:r>
      <w:r w:rsidR="002E6BA0">
        <w:rPr>
          <w:rFonts w:ascii="Times New Roman" w:hAnsi="Times New Roman" w:cs="Times New Roman"/>
        </w:rPr>
        <w:t xml:space="preserve"> (PP Residuals)</w:t>
      </w:r>
      <w:r w:rsidR="00EA682B">
        <w:rPr>
          <w:rFonts w:ascii="Times New Roman" w:hAnsi="Times New Roman" w:cs="Times New Roman"/>
        </w:rPr>
        <w:t xml:space="preserve"> and fitted values</w:t>
      </w:r>
      <w:r w:rsidR="002E6BA0">
        <w:rPr>
          <w:rFonts w:ascii="Times New Roman" w:hAnsi="Times New Roman" w:cs="Times New Roman"/>
        </w:rPr>
        <w:t xml:space="preserve"> (PP Fitted Values)</w:t>
      </w:r>
      <w:r w:rsidR="00EA682B">
        <w:rPr>
          <w:rFonts w:ascii="Times New Roman" w:hAnsi="Times New Roman" w:cs="Times New Roman"/>
        </w:rPr>
        <w:t xml:space="preserve"> for the percentage profit regression analysis in the left chart. The right chart shows the distribution of residuals from the percentage profit regression.</w:t>
      </w:r>
    </w:p>
    <w:p w14:paraId="0E5DFB45" w14:textId="798A193E" w:rsidR="0099772A" w:rsidRDefault="0099772A" w:rsidP="0099772A">
      <w:pPr>
        <w:spacing w:line="240" w:lineRule="auto"/>
        <w:jc w:val="center"/>
        <w:rPr>
          <w:rFonts w:ascii="Times New Roman" w:hAnsi="Times New Roman" w:cs="Times New Roman"/>
          <w:b/>
          <w:bCs/>
        </w:rPr>
      </w:pPr>
      <w:r>
        <w:rPr>
          <w:rFonts w:ascii="Times New Roman" w:hAnsi="Times New Roman" w:cs="Times New Roman"/>
          <w:b/>
          <w:bCs/>
        </w:rPr>
        <w:t xml:space="preserve">Figure </w:t>
      </w:r>
      <w:r>
        <w:rPr>
          <w:rFonts w:ascii="Times New Roman" w:hAnsi="Times New Roman" w:cs="Times New Roman"/>
          <w:b/>
          <w:bCs/>
        </w:rPr>
        <w:t>3</w:t>
      </w:r>
      <w:r>
        <w:rPr>
          <w:rFonts w:ascii="Times New Roman" w:hAnsi="Times New Roman" w:cs="Times New Roman"/>
          <w:b/>
          <w:bCs/>
        </w:rPr>
        <w:t>:</w:t>
      </w:r>
      <w:r w:rsidR="001E038D">
        <w:rPr>
          <w:rFonts w:ascii="Times New Roman" w:hAnsi="Times New Roman" w:cs="Times New Roman"/>
          <w:b/>
          <w:bCs/>
        </w:rPr>
        <w:t xml:space="preserve"> Dollar Profit Residual Analysis</w:t>
      </w:r>
    </w:p>
    <w:p w14:paraId="13C08C94" w14:textId="71CC034F" w:rsidR="002E6BA0" w:rsidRDefault="009730A5" w:rsidP="002E6BA0">
      <w:pPr>
        <w:spacing w:line="240" w:lineRule="auto"/>
        <w:ind w:right="-720" w:hanging="720"/>
        <w:jc w:val="center"/>
        <w:rPr>
          <w:rFonts w:ascii="Times New Roman" w:hAnsi="Times New Roman" w:cs="Times New Roman"/>
          <w:b/>
          <w:bCs/>
        </w:rPr>
      </w:pPr>
      <w:r>
        <w:rPr>
          <w:noProof/>
        </w:rPr>
        <w:drawing>
          <wp:inline distT="0" distB="0" distL="0" distR="0" wp14:anchorId="440BB597" wp14:editId="354F90EC">
            <wp:extent cx="6696075" cy="2633360"/>
            <wp:effectExtent l="0" t="0" r="0" b="0"/>
            <wp:docPr id="1576407705" name="Picture 21" descr="A comparison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07705" name="Picture 21" descr="A comparison of a graph&#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31776" cy="2647400"/>
                    </a:xfrm>
                    <a:prstGeom prst="rect">
                      <a:avLst/>
                    </a:prstGeom>
                    <a:noFill/>
                    <a:ln>
                      <a:noFill/>
                    </a:ln>
                  </pic:spPr>
                </pic:pic>
              </a:graphicData>
            </a:graphic>
          </wp:inline>
        </w:drawing>
      </w:r>
    </w:p>
    <w:p w14:paraId="094DB63A" w14:textId="6F4F24E2" w:rsidR="00D552F6" w:rsidRPr="00FC4EAF" w:rsidRDefault="00D552F6" w:rsidP="00D552F6">
      <w:pPr>
        <w:spacing w:line="240" w:lineRule="auto"/>
        <w:rPr>
          <w:rFonts w:ascii="Times New Roman" w:hAnsi="Times New Roman" w:cs="Times New Roman"/>
        </w:rPr>
      </w:pPr>
      <w:r w:rsidRPr="00FC4EAF">
        <w:rPr>
          <w:rFonts w:ascii="Times New Roman" w:hAnsi="Times New Roman" w:cs="Times New Roman"/>
          <w:b/>
          <w:bCs/>
        </w:rPr>
        <w:t xml:space="preserve">Figure </w:t>
      </w:r>
      <w:r w:rsidR="00881483">
        <w:rPr>
          <w:rFonts w:ascii="Times New Roman" w:hAnsi="Times New Roman" w:cs="Times New Roman"/>
          <w:b/>
          <w:bCs/>
        </w:rPr>
        <w:t>3</w:t>
      </w:r>
      <w:r w:rsidRPr="00FC4EAF">
        <w:rPr>
          <w:rFonts w:ascii="Times New Roman" w:hAnsi="Times New Roman" w:cs="Times New Roman"/>
          <w:b/>
          <w:bCs/>
        </w:rPr>
        <w:t>.</w:t>
      </w:r>
      <w:r w:rsidRPr="00FC4EAF">
        <w:rPr>
          <w:rFonts w:ascii="Times New Roman" w:hAnsi="Times New Roman" w:cs="Times New Roman"/>
        </w:rPr>
        <w:t xml:space="preserve"> </w:t>
      </w:r>
      <w:r w:rsidR="00EA682B" w:rsidRPr="00FC4EAF">
        <w:rPr>
          <w:rFonts w:ascii="Times New Roman" w:hAnsi="Times New Roman" w:cs="Times New Roman"/>
        </w:rPr>
        <w:t xml:space="preserve">This figure details </w:t>
      </w:r>
      <w:r w:rsidR="00EA682B">
        <w:rPr>
          <w:rFonts w:ascii="Times New Roman" w:hAnsi="Times New Roman" w:cs="Times New Roman"/>
        </w:rPr>
        <w:t xml:space="preserve">the residuals </w:t>
      </w:r>
      <w:r w:rsidR="002E6BA0">
        <w:rPr>
          <w:rFonts w:ascii="Times New Roman" w:hAnsi="Times New Roman" w:cs="Times New Roman"/>
        </w:rPr>
        <w:t xml:space="preserve">(DP Residuals) </w:t>
      </w:r>
      <w:r w:rsidR="00EA682B">
        <w:rPr>
          <w:rFonts w:ascii="Times New Roman" w:hAnsi="Times New Roman" w:cs="Times New Roman"/>
        </w:rPr>
        <w:t xml:space="preserve">and fitted values </w:t>
      </w:r>
      <w:r w:rsidR="002E6BA0">
        <w:rPr>
          <w:rFonts w:ascii="Times New Roman" w:hAnsi="Times New Roman" w:cs="Times New Roman"/>
        </w:rPr>
        <w:t xml:space="preserve">(DP Fitted Values) </w:t>
      </w:r>
      <w:r w:rsidR="00EA682B">
        <w:rPr>
          <w:rFonts w:ascii="Times New Roman" w:hAnsi="Times New Roman" w:cs="Times New Roman"/>
        </w:rPr>
        <w:t xml:space="preserve">for the </w:t>
      </w:r>
      <w:r w:rsidR="00EA682B">
        <w:rPr>
          <w:rFonts w:ascii="Times New Roman" w:hAnsi="Times New Roman" w:cs="Times New Roman"/>
        </w:rPr>
        <w:t>dollar</w:t>
      </w:r>
      <w:r w:rsidR="00EA682B">
        <w:rPr>
          <w:rFonts w:ascii="Times New Roman" w:hAnsi="Times New Roman" w:cs="Times New Roman"/>
        </w:rPr>
        <w:t xml:space="preserve"> profit regression analysis in the left chart. The right chart shows the distribution of residuals from the </w:t>
      </w:r>
      <w:r w:rsidR="00EA682B">
        <w:rPr>
          <w:rFonts w:ascii="Times New Roman" w:hAnsi="Times New Roman" w:cs="Times New Roman"/>
        </w:rPr>
        <w:t>dollar</w:t>
      </w:r>
      <w:r w:rsidR="00EA682B">
        <w:rPr>
          <w:rFonts w:ascii="Times New Roman" w:hAnsi="Times New Roman" w:cs="Times New Roman"/>
        </w:rPr>
        <w:t xml:space="preserve"> profit regression.</w:t>
      </w:r>
    </w:p>
    <w:p w14:paraId="4BF46A45" w14:textId="34A10888" w:rsidR="0099772A" w:rsidRDefault="0099772A" w:rsidP="0099772A">
      <w:pPr>
        <w:spacing w:line="240" w:lineRule="auto"/>
        <w:jc w:val="center"/>
        <w:rPr>
          <w:rFonts w:ascii="Times New Roman" w:hAnsi="Times New Roman" w:cs="Times New Roman"/>
          <w:b/>
          <w:bCs/>
        </w:rPr>
      </w:pPr>
      <w:r>
        <w:rPr>
          <w:rFonts w:ascii="Times New Roman" w:hAnsi="Times New Roman" w:cs="Times New Roman"/>
          <w:b/>
          <w:bCs/>
        </w:rPr>
        <w:t xml:space="preserve">Figure </w:t>
      </w:r>
      <w:r w:rsidR="00881483">
        <w:rPr>
          <w:rFonts w:ascii="Times New Roman" w:hAnsi="Times New Roman" w:cs="Times New Roman"/>
          <w:b/>
          <w:bCs/>
        </w:rPr>
        <w:t>4</w:t>
      </w:r>
      <w:r>
        <w:rPr>
          <w:rFonts w:ascii="Times New Roman" w:hAnsi="Times New Roman" w:cs="Times New Roman"/>
          <w:b/>
          <w:bCs/>
        </w:rPr>
        <w:t>:</w:t>
      </w:r>
      <w:r w:rsidR="001E038D">
        <w:rPr>
          <w:rFonts w:ascii="Times New Roman" w:hAnsi="Times New Roman" w:cs="Times New Roman"/>
          <w:b/>
          <w:bCs/>
        </w:rPr>
        <w:t xml:space="preserve"> Insider Trades over Time</w:t>
      </w:r>
    </w:p>
    <w:p w14:paraId="0BA9DD53" w14:textId="77777777" w:rsidR="00EA682B" w:rsidRDefault="0009732E" w:rsidP="0009732E">
      <w:pPr>
        <w:spacing w:line="240" w:lineRule="auto"/>
        <w:ind w:right="-720" w:hanging="720"/>
        <w:rPr>
          <w:noProof/>
        </w:rPr>
      </w:pPr>
      <w:r>
        <w:rPr>
          <w:noProof/>
        </w:rPr>
        <w:drawing>
          <wp:inline distT="0" distB="0" distL="0" distR="0" wp14:anchorId="303BAFB7" wp14:editId="5DD7FF00">
            <wp:extent cx="6830053" cy="2686050"/>
            <wp:effectExtent l="0" t="0" r="9525" b="0"/>
            <wp:docPr id="187422593" name="Picture 11" descr="A graph of sales and a sales repo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2593" name="Picture 11" descr="A graph of sales and a sales report&#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46146" cy="2692379"/>
                    </a:xfrm>
                    <a:prstGeom prst="rect">
                      <a:avLst/>
                    </a:prstGeom>
                    <a:noFill/>
                    <a:ln>
                      <a:noFill/>
                    </a:ln>
                  </pic:spPr>
                </pic:pic>
              </a:graphicData>
            </a:graphic>
          </wp:inline>
        </w:drawing>
      </w:r>
    </w:p>
    <w:p w14:paraId="0E9C8103" w14:textId="3386E71C" w:rsidR="00EA682B" w:rsidRDefault="00EA682B" w:rsidP="00EA682B">
      <w:pPr>
        <w:spacing w:line="240" w:lineRule="auto"/>
        <w:rPr>
          <w:rFonts w:ascii="Times New Roman" w:hAnsi="Times New Roman" w:cs="Times New Roman"/>
        </w:rPr>
      </w:pPr>
      <w:r w:rsidRPr="00FC4EAF">
        <w:rPr>
          <w:rFonts w:ascii="Times New Roman" w:hAnsi="Times New Roman" w:cs="Times New Roman"/>
          <w:b/>
          <w:bCs/>
        </w:rPr>
        <w:t xml:space="preserve">Figure </w:t>
      </w:r>
      <w:r>
        <w:rPr>
          <w:rFonts w:ascii="Times New Roman" w:hAnsi="Times New Roman" w:cs="Times New Roman"/>
          <w:b/>
          <w:bCs/>
        </w:rPr>
        <w:t>4</w:t>
      </w:r>
      <w:r w:rsidRPr="00FC4EAF">
        <w:rPr>
          <w:rFonts w:ascii="Times New Roman" w:hAnsi="Times New Roman" w:cs="Times New Roman"/>
          <w:b/>
          <w:bCs/>
        </w:rPr>
        <w:t>.</w:t>
      </w:r>
      <w:r w:rsidRPr="00FC4EAF">
        <w:rPr>
          <w:rFonts w:ascii="Times New Roman" w:hAnsi="Times New Roman" w:cs="Times New Roman"/>
        </w:rPr>
        <w:t xml:space="preserve"> Th</w:t>
      </w:r>
      <w:r>
        <w:rPr>
          <w:rFonts w:ascii="Times New Roman" w:hAnsi="Times New Roman" w:cs="Times New Roman"/>
        </w:rPr>
        <w:t>e left chart in this</w:t>
      </w:r>
      <w:r w:rsidRPr="00FC4EAF">
        <w:rPr>
          <w:rFonts w:ascii="Times New Roman" w:hAnsi="Times New Roman" w:cs="Times New Roman"/>
        </w:rPr>
        <w:t xml:space="preserve"> </w:t>
      </w:r>
      <w:r>
        <w:rPr>
          <w:rFonts w:ascii="Times New Roman" w:hAnsi="Times New Roman" w:cs="Times New Roman"/>
        </w:rPr>
        <w:t>figure shows the total purchases (buys) and sales (sells) made on each numbered day of the month over the study period</w:t>
      </w:r>
      <w:r w:rsidR="00C035DF">
        <w:rPr>
          <w:rFonts w:ascii="Times New Roman" w:hAnsi="Times New Roman" w:cs="Times New Roman"/>
        </w:rPr>
        <w:t xml:space="preserve"> by insiders</w:t>
      </w:r>
      <w:r>
        <w:rPr>
          <w:rFonts w:ascii="Times New Roman" w:hAnsi="Times New Roman" w:cs="Times New Roman"/>
        </w:rPr>
        <w:t xml:space="preserve">. </w:t>
      </w:r>
      <w:r w:rsidRPr="00FC4EAF">
        <w:rPr>
          <w:rFonts w:ascii="Times New Roman" w:hAnsi="Times New Roman" w:cs="Times New Roman"/>
        </w:rPr>
        <w:t>Th</w:t>
      </w:r>
      <w:r>
        <w:rPr>
          <w:rFonts w:ascii="Times New Roman" w:hAnsi="Times New Roman" w:cs="Times New Roman"/>
        </w:rPr>
        <w:t xml:space="preserve">e </w:t>
      </w:r>
      <w:r>
        <w:rPr>
          <w:rFonts w:ascii="Times New Roman" w:hAnsi="Times New Roman" w:cs="Times New Roman"/>
        </w:rPr>
        <w:t>right</w:t>
      </w:r>
      <w:r>
        <w:rPr>
          <w:rFonts w:ascii="Times New Roman" w:hAnsi="Times New Roman" w:cs="Times New Roman"/>
        </w:rPr>
        <w:t xml:space="preserve"> chart in this</w:t>
      </w:r>
      <w:r w:rsidRPr="00FC4EAF">
        <w:rPr>
          <w:rFonts w:ascii="Times New Roman" w:hAnsi="Times New Roman" w:cs="Times New Roman"/>
        </w:rPr>
        <w:t xml:space="preserve"> </w:t>
      </w:r>
      <w:r>
        <w:rPr>
          <w:rFonts w:ascii="Times New Roman" w:hAnsi="Times New Roman" w:cs="Times New Roman"/>
        </w:rPr>
        <w:t xml:space="preserve">figure shows the total purchases (buys) and sales (sells) made </w:t>
      </w:r>
      <w:r w:rsidR="00C035DF">
        <w:rPr>
          <w:rFonts w:ascii="Times New Roman" w:hAnsi="Times New Roman" w:cs="Times New Roman"/>
        </w:rPr>
        <w:t>daily over</w:t>
      </w:r>
      <w:r>
        <w:rPr>
          <w:rFonts w:ascii="Times New Roman" w:hAnsi="Times New Roman" w:cs="Times New Roman"/>
        </w:rPr>
        <w:t xml:space="preserve"> the study period</w:t>
      </w:r>
      <w:r w:rsidR="00C035DF">
        <w:rPr>
          <w:rFonts w:ascii="Times New Roman" w:hAnsi="Times New Roman" w:cs="Times New Roman"/>
        </w:rPr>
        <w:t xml:space="preserve"> by insiders</w:t>
      </w:r>
      <w:r>
        <w:rPr>
          <w:rFonts w:ascii="Times New Roman" w:hAnsi="Times New Roman" w:cs="Times New Roman"/>
        </w:rPr>
        <w:t>.</w:t>
      </w:r>
    </w:p>
    <w:p w14:paraId="5B47A518" w14:textId="5A5DEE8B" w:rsidR="0099772A" w:rsidRDefault="0099772A" w:rsidP="00EA682B">
      <w:pPr>
        <w:spacing w:line="240" w:lineRule="auto"/>
        <w:ind w:right="-720" w:hanging="720"/>
        <w:jc w:val="center"/>
        <w:rPr>
          <w:rFonts w:ascii="Times New Roman" w:hAnsi="Times New Roman" w:cs="Times New Roman"/>
          <w:b/>
          <w:bCs/>
        </w:rPr>
      </w:pPr>
      <w:r>
        <w:rPr>
          <w:rFonts w:ascii="Times New Roman" w:hAnsi="Times New Roman" w:cs="Times New Roman"/>
          <w:b/>
          <w:bCs/>
        </w:rPr>
        <w:t xml:space="preserve">Figure </w:t>
      </w:r>
      <w:r w:rsidR="00881483">
        <w:rPr>
          <w:rFonts w:ascii="Times New Roman" w:hAnsi="Times New Roman" w:cs="Times New Roman"/>
          <w:b/>
          <w:bCs/>
        </w:rPr>
        <w:t>5</w:t>
      </w:r>
      <w:r>
        <w:rPr>
          <w:rFonts w:ascii="Times New Roman" w:hAnsi="Times New Roman" w:cs="Times New Roman"/>
          <w:b/>
          <w:bCs/>
        </w:rPr>
        <w:t>:</w:t>
      </w:r>
      <w:r w:rsidR="001E038D">
        <w:rPr>
          <w:rFonts w:ascii="Times New Roman" w:hAnsi="Times New Roman" w:cs="Times New Roman"/>
          <w:b/>
          <w:bCs/>
        </w:rPr>
        <w:t xml:space="preserve"> Most Profitable Insider Trades by Sector</w:t>
      </w:r>
    </w:p>
    <w:p w14:paraId="636B2308" w14:textId="1670A68A" w:rsidR="0009732E" w:rsidRDefault="00AE4389" w:rsidP="003A344A">
      <w:pPr>
        <w:spacing w:line="240" w:lineRule="auto"/>
        <w:ind w:right="-720" w:hanging="720"/>
        <w:jc w:val="center"/>
        <w:rPr>
          <w:rFonts w:ascii="Times New Roman" w:hAnsi="Times New Roman" w:cs="Times New Roman"/>
        </w:rPr>
      </w:pPr>
      <w:r>
        <w:rPr>
          <w:noProof/>
        </w:rPr>
        <w:lastRenderedPageBreak/>
        <w:drawing>
          <wp:inline distT="0" distB="0" distL="0" distR="0" wp14:anchorId="10D29A58" wp14:editId="43D01315">
            <wp:extent cx="6662198" cy="2828925"/>
            <wp:effectExtent l="0" t="0" r="5715" b="0"/>
            <wp:docPr id="430142374" name="Picture 12" descr="A comparison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42374" name="Picture 12" descr="A comparison of a graph&#10;&#10;Description automatically generated with medium confidence"/>
                    <pic:cNvPicPr>
                      <a:picLocks noChangeAspect="1" noChangeArrowheads="1"/>
                    </pic:cNvPicPr>
                  </pic:nvPicPr>
                  <pic:blipFill rotWithShape="1">
                    <a:blip r:embed="rId14">
                      <a:extLst>
                        <a:ext uri="{28A0092B-C50C-407E-A947-70E740481C1C}">
                          <a14:useLocalDpi xmlns:a14="http://schemas.microsoft.com/office/drawing/2010/main" val="0"/>
                        </a:ext>
                      </a:extLst>
                    </a:blip>
                    <a:srcRect b="5594"/>
                    <a:stretch/>
                  </pic:blipFill>
                  <pic:spPr bwMode="auto">
                    <a:xfrm>
                      <a:off x="0" y="0"/>
                      <a:ext cx="6723456" cy="2854937"/>
                    </a:xfrm>
                    <a:prstGeom prst="rect">
                      <a:avLst/>
                    </a:prstGeom>
                    <a:noFill/>
                    <a:ln>
                      <a:noFill/>
                    </a:ln>
                    <a:extLst>
                      <a:ext uri="{53640926-AAD7-44D8-BBD7-CCE9431645EC}">
                        <a14:shadowObscured xmlns:a14="http://schemas.microsoft.com/office/drawing/2010/main"/>
                      </a:ext>
                    </a:extLst>
                  </pic:spPr>
                </pic:pic>
              </a:graphicData>
            </a:graphic>
          </wp:inline>
        </w:drawing>
      </w:r>
    </w:p>
    <w:p w14:paraId="58FE2042" w14:textId="587610F4" w:rsidR="00EA682B" w:rsidRPr="00C035DF" w:rsidRDefault="00EA682B" w:rsidP="00C035DF">
      <w:pPr>
        <w:spacing w:line="240" w:lineRule="auto"/>
        <w:rPr>
          <w:rFonts w:ascii="Times New Roman" w:hAnsi="Times New Roman" w:cs="Times New Roman"/>
        </w:rPr>
      </w:pPr>
      <w:r w:rsidRPr="00FC4EAF">
        <w:rPr>
          <w:rFonts w:ascii="Times New Roman" w:hAnsi="Times New Roman" w:cs="Times New Roman"/>
          <w:b/>
          <w:bCs/>
        </w:rPr>
        <w:t xml:space="preserve">Figure </w:t>
      </w:r>
      <w:r>
        <w:rPr>
          <w:rFonts w:ascii="Times New Roman" w:hAnsi="Times New Roman" w:cs="Times New Roman"/>
          <w:b/>
          <w:bCs/>
        </w:rPr>
        <w:t>5</w:t>
      </w:r>
      <w:r w:rsidRPr="00FC4EAF">
        <w:rPr>
          <w:rFonts w:ascii="Times New Roman" w:hAnsi="Times New Roman" w:cs="Times New Roman"/>
          <w:b/>
          <w:bCs/>
        </w:rPr>
        <w:t>.</w:t>
      </w:r>
      <w:r w:rsidRPr="00FC4EAF">
        <w:rPr>
          <w:rFonts w:ascii="Times New Roman" w:hAnsi="Times New Roman" w:cs="Times New Roman"/>
        </w:rPr>
        <w:t xml:space="preserve"> Th</w:t>
      </w:r>
      <w:r w:rsidR="00C035DF">
        <w:rPr>
          <w:rFonts w:ascii="Times New Roman" w:hAnsi="Times New Roman" w:cs="Times New Roman"/>
        </w:rPr>
        <w:t>e left chart in this figure shows the median percentage profits for insiders in each of the 11 sectors in the S&amp;P 500. The right chart in this figure shows the median dollar profit for insiders in each of the 11 sectors.</w:t>
      </w:r>
    </w:p>
    <w:p w14:paraId="6608E126" w14:textId="595CD256" w:rsidR="00881483" w:rsidRDefault="00881483" w:rsidP="00881483">
      <w:pPr>
        <w:spacing w:line="240" w:lineRule="auto"/>
        <w:jc w:val="center"/>
        <w:rPr>
          <w:rFonts w:ascii="Times New Roman" w:hAnsi="Times New Roman" w:cs="Times New Roman"/>
          <w:b/>
          <w:bCs/>
        </w:rPr>
      </w:pPr>
      <w:r>
        <w:rPr>
          <w:rFonts w:ascii="Times New Roman" w:hAnsi="Times New Roman" w:cs="Times New Roman"/>
          <w:b/>
          <w:bCs/>
        </w:rPr>
        <w:t xml:space="preserve">Figure </w:t>
      </w:r>
      <w:r>
        <w:rPr>
          <w:rFonts w:ascii="Times New Roman" w:hAnsi="Times New Roman" w:cs="Times New Roman"/>
          <w:b/>
          <w:bCs/>
        </w:rPr>
        <w:t>6</w:t>
      </w:r>
      <w:r>
        <w:rPr>
          <w:rFonts w:ascii="Times New Roman" w:hAnsi="Times New Roman" w:cs="Times New Roman"/>
          <w:b/>
          <w:bCs/>
        </w:rPr>
        <w:t>:</w:t>
      </w:r>
      <w:r w:rsidR="001E038D">
        <w:rPr>
          <w:rFonts w:ascii="Times New Roman" w:hAnsi="Times New Roman" w:cs="Times New Roman"/>
          <w:b/>
          <w:bCs/>
        </w:rPr>
        <w:t xml:space="preserve"> </w:t>
      </w:r>
      <w:r w:rsidR="001E038D">
        <w:rPr>
          <w:rFonts w:ascii="Times New Roman" w:hAnsi="Times New Roman" w:cs="Times New Roman"/>
          <w:b/>
          <w:bCs/>
        </w:rPr>
        <w:t>Most Frequent Insider Trades by Sector</w:t>
      </w:r>
    </w:p>
    <w:p w14:paraId="0741CEF8" w14:textId="53C5BEF3" w:rsidR="003A344A" w:rsidRDefault="003A344A" w:rsidP="003A344A">
      <w:pPr>
        <w:spacing w:line="240" w:lineRule="auto"/>
        <w:ind w:right="-720" w:hanging="720"/>
        <w:jc w:val="center"/>
        <w:rPr>
          <w:rFonts w:ascii="Times New Roman" w:hAnsi="Times New Roman" w:cs="Times New Roman"/>
        </w:rPr>
      </w:pPr>
      <w:r>
        <w:rPr>
          <w:noProof/>
        </w:rPr>
        <w:drawing>
          <wp:inline distT="0" distB="0" distL="0" distR="0" wp14:anchorId="2645F441" wp14:editId="40E3D0F0">
            <wp:extent cx="5943600" cy="3819525"/>
            <wp:effectExtent l="0" t="0" r="0" b="9525"/>
            <wp:docPr id="436310300" name="Picture 13" descr="A graph of sales and sh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10300" name="Picture 13" descr="A graph of sales and shares&#10;&#10;Description automatically generated with medium confidence"/>
                    <pic:cNvPicPr>
                      <a:picLocks noChangeAspect="1" noChangeArrowheads="1"/>
                    </pic:cNvPicPr>
                  </pic:nvPicPr>
                  <pic:blipFill rotWithShape="1">
                    <a:blip r:embed="rId15">
                      <a:extLst>
                        <a:ext uri="{28A0092B-C50C-407E-A947-70E740481C1C}">
                          <a14:useLocalDpi xmlns:a14="http://schemas.microsoft.com/office/drawing/2010/main" val="0"/>
                        </a:ext>
                      </a:extLst>
                    </a:blip>
                    <a:srcRect b="4916"/>
                    <a:stretch/>
                  </pic:blipFill>
                  <pic:spPr bwMode="auto">
                    <a:xfrm>
                      <a:off x="0" y="0"/>
                      <a:ext cx="5943600" cy="3819525"/>
                    </a:xfrm>
                    <a:prstGeom prst="rect">
                      <a:avLst/>
                    </a:prstGeom>
                    <a:noFill/>
                    <a:ln>
                      <a:noFill/>
                    </a:ln>
                    <a:extLst>
                      <a:ext uri="{53640926-AAD7-44D8-BBD7-CCE9431645EC}">
                        <a14:shadowObscured xmlns:a14="http://schemas.microsoft.com/office/drawing/2010/main"/>
                      </a:ext>
                    </a:extLst>
                  </pic:spPr>
                </pic:pic>
              </a:graphicData>
            </a:graphic>
          </wp:inline>
        </w:drawing>
      </w:r>
    </w:p>
    <w:p w14:paraId="32080932" w14:textId="36A84E9F" w:rsidR="00C035DF" w:rsidRDefault="00C035DF" w:rsidP="00A354F5">
      <w:pPr>
        <w:spacing w:line="240" w:lineRule="auto"/>
        <w:rPr>
          <w:rFonts w:ascii="Times New Roman" w:hAnsi="Times New Roman" w:cs="Times New Roman"/>
        </w:rPr>
      </w:pPr>
      <w:r w:rsidRPr="00FC4EAF">
        <w:rPr>
          <w:rFonts w:ascii="Times New Roman" w:hAnsi="Times New Roman" w:cs="Times New Roman"/>
          <w:b/>
          <w:bCs/>
        </w:rPr>
        <w:t xml:space="preserve">Figure </w:t>
      </w:r>
      <w:r>
        <w:rPr>
          <w:rFonts w:ascii="Times New Roman" w:hAnsi="Times New Roman" w:cs="Times New Roman"/>
          <w:b/>
          <w:bCs/>
        </w:rPr>
        <w:t>6</w:t>
      </w:r>
      <w:r w:rsidRPr="00FC4EAF">
        <w:rPr>
          <w:rFonts w:ascii="Times New Roman" w:hAnsi="Times New Roman" w:cs="Times New Roman"/>
          <w:b/>
          <w:bCs/>
        </w:rPr>
        <w:t>.</w:t>
      </w:r>
      <w:r w:rsidRPr="00FC4EAF">
        <w:rPr>
          <w:rFonts w:ascii="Times New Roman" w:hAnsi="Times New Roman" w:cs="Times New Roman"/>
        </w:rPr>
        <w:t xml:space="preserve"> This figure</w:t>
      </w:r>
      <w:r w:rsidRPr="00C035DF">
        <w:rPr>
          <w:rFonts w:ascii="Times New Roman" w:hAnsi="Times New Roman" w:cs="Times New Roman"/>
        </w:rPr>
        <w:t xml:space="preserve"> </w:t>
      </w:r>
      <w:r>
        <w:rPr>
          <w:rFonts w:ascii="Times New Roman" w:hAnsi="Times New Roman" w:cs="Times New Roman"/>
        </w:rPr>
        <w:t>shows the total purchases (buys) and sales (sells) made by insiders in each of the 11 sectors in the S&amp;P 500 over the study period.</w:t>
      </w:r>
    </w:p>
    <w:sectPr w:rsidR="00C035DF">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07067F" w14:textId="77777777" w:rsidR="00280E10" w:rsidRDefault="00280E10" w:rsidP="00D552F6">
      <w:pPr>
        <w:spacing w:after="0" w:line="240" w:lineRule="auto"/>
      </w:pPr>
      <w:r>
        <w:separator/>
      </w:r>
    </w:p>
  </w:endnote>
  <w:endnote w:type="continuationSeparator" w:id="0">
    <w:p w14:paraId="7E894237" w14:textId="77777777" w:rsidR="00280E10" w:rsidRDefault="00280E10" w:rsidP="00D552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8416A3" w14:textId="77777777" w:rsidR="00280E10" w:rsidRDefault="00280E10" w:rsidP="00D552F6">
      <w:pPr>
        <w:spacing w:after="0" w:line="240" w:lineRule="auto"/>
      </w:pPr>
      <w:r>
        <w:separator/>
      </w:r>
    </w:p>
  </w:footnote>
  <w:footnote w:type="continuationSeparator" w:id="0">
    <w:p w14:paraId="2C2DFABA" w14:textId="77777777" w:rsidR="00280E10" w:rsidRDefault="00280E10" w:rsidP="00D552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8294574"/>
      <w:docPartObj>
        <w:docPartGallery w:val="Page Numbers (Top of Page)"/>
        <w:docPartUnique/>
      </w:docPartObj>
    </w:sdtPr>
    <w:sdtEndPr>
      <w:rPr>
        <w:rFonts w:ascii="Times New Roman" w:hAnsi="Times New Roman" w:cs="Times New Roman"/>
        <w:noProof/>
      </w:rPr>
    </w:sdtEndPr>
    <w:sdtContent>
      <w:p w14:paraId="2F20AB69" w14:textId="3E69352C" w:rsidR="00D552F6" w:rsidRPr="00D552F6" w:rsidRDefault="00D552F6">
        <w:pPr>
          <w:pStyle w:val="Header"/>
          <w:jc w:val="right"/>
          <w:rPr>
            <w:rFonts w:ascii="Times New Roman" w:hAnsi="Times New Roman" w:cs="Times New Roman"/>
          </w:rPr>
        </w:pPr>
        <w:r w:rsidRPr="00D552F6">
          <w:rPr>
            <w:rFonts w:ascii="Times New Roman" w:hAnsi="Times New Roman" w:cs="Times New Roman"/>
          </w:rPr>
          <w:fldChar w:fldCharType="begin"/>
        </w:r>
        <w:r w:rsidRPr="00D552F6">
          <w:rPr>
            <w:rFonts w:ascii="Times New Roman" w:hAnsi="Times New Roman" w:cs="Times New Roman"/>
          </w:rPr>
          <w:instrText xml:space="preserve"> PAGE   \* MERGEFORMAT </w:instrText>
        </w:r>
        <w:r w:rsidRPr="00D552F6">
          <w:rPr>
            <w:rFonts w:ascii="Times New Roman" w:hAnsi="Times New Roman" w:cs="Times New Roman"/>
          </w:rPr>
          <w:fldChar w:fldCharType="separate"/>
        </w:r>
        <w:r w:rsidRPr="00D552F6">
          <w:rPr>
            <w:rFonts w:ascii="Times New Roman" w:hAnsi="Times New Roman" w:cs="Times New Roman"/>
            <w:noProof/>
          </w:rPr>
          <w:t>2</w:t>
        </w:r>
        <w:r w:rsidRPr="00D552F6">
          <w:rPr>
            <w:rFonts w:ascii="Times New Roman" w:hAnsi="Times New Roman" w:cs="Times New Roman"/>
            <w:noProof/>
          </w:rPr>
          <w:fldChar w:fldCharType="end"/>
        </w:r>
      </w:p>
    </w:sdtContent>
  </w:sdt>
  <w:p w14:paraId="23208691" w14:textId="77777777" w:rsidR="00D552F6" w:rsidRDefault="00D552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84711"/>
    <w:multiLevelType w:val="hybridMultilevel"/>
    <w:tmpl w:val="311A36C6"/>
    <w:lvl w:ilvl="0" w:tplc="BB123A3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B106F4"/>
    <w:multiLevelType w:val="hybridMultilevel"/>
    <w:tmpl w:val="37B69AD6"/>
    <w:lvl w:ilvl="0" w:tplc="B27486FE">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44637D"/>
    <w:multiLevelType w:val="hybridMultilevel"/>
    <w:tmpl w:val="F6581B16"/>
    <w:lvl w:ilvl="0" w:tplc="CE50709E">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BC0644"/>
    <w:multiLevelType w:val="hybridMultilevel"/>
    <w:tmpl w:val="028ABDA2"/>
    <w:lvl w:ilvl="0" w:tplc="1248CB9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0E58F9"/>
    <w:multiLevelType w:val="hybridMultilevel"/>
    <w:tmpl w:val="05C486F0"/>
    <w:lvl w:ilvl="0" w:tplc="F536C89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4328794">
    <w:abstractNumId w:val="2"/>
  </w:num>
  <w:num w:numId="2" w16cid:durableId="279146485">
    <w:abstractNumId w:val="0"/>
  </w:num>
  <w:num w:numId="3" w16cid:durableId="968049050">
    <w:abstractNumId w:val="4"/>
  </w:num>
  <w:num w:numId="4" w16cid:durableId="1670404460">
    <w:abstractNumId w:val="1"/>
  </w:num>
  <w:num w:numId="5" w16cid:durableId="4724035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66E"/>
    <w:rsid w:val="000077D2"/>
    <w:rsid w:val="000447E0"/>
    <w:rsid w:val="00054911"/>
    <w:rsid w:val="00093FA0"/>
    <w:rsid w:val="0009732E"/>
    <w:rsid w:val="000A376E"/>
    <w:rsid w:val="000E4CA2"/>
    <w:rsid w:val="000F72EB"/>
    <w:rsid w:val="0012403E"/>
    <w:rsid w:val="001365BF"/>
    <w:rsid w:val="00137F73"/>
    <w:rsid w:val="0014129B"/>
    <w:rsid w:val="00161CFA"/>
    <w:rsid w:val="0016463D"/>
    <w:rsid w:val="00165866"/>
    <w:rsid w:val="0019044B"/>
    <w:rsid w:val="001B1946"/>
    <w:rsid w:val="001E038D"/>
    <w:rsid w:val="002175F2"/>
    <w:rsid w:val="00236FFA"/>
    <w:rsid w:val="00242E67"/>
    <w:rsid w:val="00280E10"/>
    <w:rsid w:val="002851B9"/>
    <w:rsid w:val="002859BC"/>
    <w:rsid w:val="002A2526"/>
    <w:rsid w:val="002C76C2"/>
    <w:rsid w:val="002E6BA0"/>
    <w:rsid w:val="002F0519"/>
    <w:rsid w:val="00321D06"/>
    <w:rsid w:val="00324770"/>
    <w:rsid w:val="00352911"/>
    <w:rsid w:val="0036224B"/>
    <w:rsid w:val="00364F66"/>
    <w:rsid w:val="00373356"/>
    <w:rsid w:val="00392E73"/>
    <w:rsid w:val="003A344A"/>
    <w:rsid w:val="003A73E2"/>
    <w:rsid w:val="003F087E"/>
    <w:rsid w:val="004355B7"/>
    <w:rsid w:val="0045405E"/>
    <w:rsid w:val="00456C73"/>
    <w:rsid w:val="00461EB0"/>
    <w:rsid w:val="004833F9"/>
    <w:rsid w:val="00490AAE"/>
    <w:rsid w:val="0049154F"/>
    <w:rsid w:val="004A04D2"/>
    <w:rsid w:val="004D1274"/>
    <w:rsid w:val="004D5B66"/>
    <w:rsid w:val="004E47F7"/>
    <w:rsid w:val="005428B0"/>
    <w:rsid w:val="00563DCD"/>
    <w:rsid w:val="005A1ECC"/>
    <w:rsid w:val="005C6BA9"/>
    <w:rsid w:val="006076EA"/>
    <w:rsid w:val="006246B5"/>
    <w:rsid w:val="00666793"/>
    <w:rsid w:val="006715E1"/>
    <w:rsid w:val="00682110"/>
    <w:rsid w:val="00695002"/>
    <w:rsid w:val="00695A27"/>
    <w:rsid w:val="006A0FE7"/>
    <w:rsid w:val="006A255F"/>
    <w:rsid w:val="006C140B"/>
    <w:rsid w:val="006E128B"/>
    <w:rsid w:val="006F3591"/>
    <w:rsid w:val="006F3669"/>
    <w:rsid w:val="00701DC1"/>
    <w:rsid w:val="0076762B"/>
    <w:rsid w:val="007735DC"/>
    <w:rsid w:val="0078226B"/>
    <w:rsid w:val="007825E2"/>
    <w:rsid w:val="00797731"/>
    <w:rsid w:val="007B10F7"/>
    <w:rsid w:val="007B6F2C"/>
    <w:rsid w:val="007C578E"/>
    <w:rsid w:val="007D6C18"/>
    <w:rsid w:val="007E51E3"/>
    <w:rsid w:val="007E6848"/>
    <w:rsid w:val="00800C85"/>
    <w:rsid w:val="0080249B"/>
    <w:rsid w:val="00851DBD"/>
    <w:rsid w:val="008528D1"/>
    <w:rsid w:val="00860CE3"/>
    <w:rsid w:val="00862ED5"/>
    <w:rsid w:val="008679D3"/>
    <w:rsid w:val="00881483"/>
    <w:rsid w:val="00883560"/>
    <w:rsid w:val="0090102F"/>
    <w:rsid w:val="009113A8"/>
    <w:rsid w:val="0093692A"/>
    <w:rsid w:val="00937D08"/>
    <w:rsid w:val="009569B1"/>
    <w:rsid w:val="00960D45"/>
    <w:rsid w:val="009730A5"/>
    <w:rsid w:val="0099772A"/>
    <w:rsid w:val="009A357F"/>
    <w:rsid w:val="009A37EC"/>
    <w:rsid w:val="009B1491"/>
    <w:rsid w:val="009E564D"/>
    <w:rsid w:val="009E66EF"/>
    <w:rsid w:val="009F0597"/>
    <w:rsid w:val="009F7211"/>
    <w:rsid w:val="00A066C3"/>
    <w:rsid w:val="00A14C89"/>
    <w:rsid w:val="00A24936"/>
    <w:rsid w:val="00A319B6"/>
    <w:rsid w:val="00A354F5"/>
    <w:rsid w:val="00A422D1"/>
    <w:rsid w:val="00A42EDE"/>
    <w:rsid w:val="00A46320"/>
    <w:rsid w:val="00A46946"/>
    <w:rsid w:val="00A62B65"/>
    <w:rsid w:val="00A74D56"/>
    <w:rsid w:val="00A8057B"/>
    <w:rsid w:val="00A907FD"/>
    <w:rsid w:val="00A91CB1"/>
    <w:rsid w:val="00AB2897"/>
    <w:rsid w:val="00AE4389"/>
    <w:rsid w:val="00AF5F2D"/>
    <w:rsid w:val="00AF6CCE"/>
    <w:rsid w:val="00B0600C"/>
    <w:rsid w:val="00B168C5"/>
    <w:rsid w:val="00B61B6A"/>
    <w:rsid w:val="00B776C6"/>
    <w:rsid w:val="00BA5CEA"/>
    <w:rsid w:val="00BB666E"/>
    <w:rsid w:val="00BC5A73"/>
    <w:rsid w:val="00BE46C8"/>
    <w:rsid w:val="00C00ADA"/>
    <w:rsid w:val="00C035DF"/>
    <w:rsid w:val="00C126CA"/>
    <w:rsid w:val="00C24023"/>
    <w:rsid w:val="00C50799"/>
    <w:rsid w:val="00C53499"/>
    <w:rsid w:val="00C872A6"/>
    <w:rsid w:val="00CB497C"/>
    <w:rsid w:val="00CD1A0D"/>
    <w:rsid w:val="00CF775C"/>
    <w:rsid w:val="00D142BD"/>
    <w:rsid w:val="00D158AE"/>
    <w:rsid w:val="00D26F7F"/>
    <w:rsid w:val="00D552F6"/>
    <w:rsid w:val="00D7219A"/>
    <w:rsid w:val="00D723EB"/>
    <w:rsid w:val="00DA0A7A"/>
    <w:rsid w:val="00DB395C"/>
    <w:rsid w:val="00DB7399"/>
    <w:rsid w:val="00DC0F9D"/>
    <w:rsid w:val="00DD5EE0"/>
    <w:rsid w:val="00E06358"/>
    <w:rsid w:val="00E070AB"/>
    <w:rsid w:val="00E16307"/>
    <w:rsid w:val="00E35253"/>
    <w:rsid w:val="00E60FB6"/>
    <w:rsid w:val="00E672EA"/>
    <w:rsid w:val="00E83CFC"/>
    <w:rsid w:val="00E85277"/>
    <w:rsid w:val="00EA592D"/>
    <w:rsid w:val="00EA682B"/>
    <w:rsid w:val="00EA7C7B"/>
    <w:rsid w:val="00EB3DA5"/>
    <w:rsid w:val="00EB4FB8"/>
    <w:rsid w:val="00EC4519"/>
    <w:rsid w:val="00ED5B08"/>
    <w:rsid w:val="00EF32BF"/>
    <w:rsid w:val="00F1710F"/>
    <w:rsid w:val="00F36ED7"/>
    <w:rsid w:val="00F43E63"/>
    <w:rsid w:val="00F57A52"/>
    <w:rsid w:val="00F57F61"/>
    <w:rsid w:val="00F673EB"/>
    <w:rsid w:val="00F76F1F"/>
    <w:rsid w:val="00F833DB"/>
    <w:rsid w:val="00FA4883"/>
    <w:rsid w:val="00FC4EAF"/>
    <w:rsid w:val="00FE0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C4ED6"/>
  <w15:chartTrackingRefBased/>
  <w15:docId w15:val="{D659FE67-286C-4747-B18A-AE53B7CE6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483"/>
    <w:rPr>
      <w:rFonts w:asciiTheme="minorHAnsi" w:hAnsiTheme="minorHAnsi" w:cstheme="min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1A0D"/>
    <w:pPr>
      <w:ind w:left="720"/>
      <w:contextualSpacing/>
    </w:pPr>
  </w:style>
  <w:style w:type="character" w:styleId="CommentReference">
    <w:name w:val="annotation reference"/>
    <w:basedOn w:val="DefaultParagraphFont"/>
    <w:uiPriority w:val="99"/>
    <w:semiHidden/>
    <w:unhideWhenUsed/>
    <w:rsid w:val="007E6848"/>
    <w:rPr>
      <w:sz w:val="16"/>
      <w:szCs w:val="16"/>
    </w:rPr>
  </w:style>
  <w:style w:type="paragraph" w:styleId="CommentText">
    <w:name w:val="annotation text"/>
    <w:basedOn w:val="Normal"/>
    <w:link w:val="CommentTextChar"/>
    <w:uiPriority w:val="99"/>
    <w:unhideWhenUsed/>
    <w:rsid w:val="007E6848"/>
    <w:pPr>
      <w:spacing w:line="240" w:lineRule="auto"/>
    </w:pPr>
    <w:rPr>
      <w:sz w:val="20"/>
      <w:szCs w:val="20"/>
    </w:rPr>
  </w:style>
  <w:style w:type="character" w:customStyle="1" w:styleId="CommentTextChar">
    <w:name w:val="Comment Text Char"/>
    <w:basedOn w:val="DefaultParagraphFont"/>
    <w:link w:val="CommentText"/>
    <w:uiPriority w:val="99"/>
    <w:rsid w:val="007E6848"/>
    <w:rPr>
      <w:rFonts w:asciiTheme="minorHAnsi" w:hAnsiTheme="minorHAnsi" w:cstheme="minorBidi"/>
      <w:sz w:val="20"/>
      <w:szCs w:val="20"/>
    </w:rPr>
  </w:style>
  <w:style w:type="paragraph" w:styleId="CommentSubject">
    <w:name w:val="annotation subject"/>
    <w:basedOn w:val="CommentText"/>
    <w:next w:val="CommentText"/>
    <w:link w:val="CommentSubjectChar"/>
    <w:uiPriority w:val="99"/>
    <w:semiHidden/>
    <w:unhideWhenUsed/>
    <w:rsid w:val="007E6848"/>
    <w:rPr>
      <w:b/>
      <w:bCs/>
    </w:rPr>
  </w:style>
  <w:style w:type="character" w:customStyle="1" w:styleId="CommentSubjectChar">
    <w:name w:val="Comment Subject Char"/>
    <w:basedOn w:val="CommentTextChar"/>
    <w:link w:val="CommentSubject"/>
    <w:uiPriority w:val="99"/>
    <w:semiHidden/>
    <w:rsid w:val="007E6848"/>
    <w:rPr>
      <w:rFonts w:asciiTheme="minorHAnsi" w:hAnsiTheme="minorHAnsi" w:cstheme="minorBidi"/>
      <w:b/>
      <w:bCs/>
      <w:sz w:val="20"/>
      <w:szCs w:val="20"/>
    </w:rPr>
  </w:style>
  <w:style w:type="paragraph" w:customStyle="1" w:styleId="comp">
    <w:name w:val="comp"/>
    <w:basedOn w:val="Normal"/>
    <w:rsid w:val="00242E6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unhideWhenUsed/>
    <w:rsid w:val="0049154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F833DB"/>
    <w:rPr>
      <w:color w:val="0563C1" w:themeColor="hyperlink"/>
      <w:u w:val="single"/>
    </w:rPr>
  </w:style>
  <w:style w:type="character" w:styleId="UnresolvedMention">
    <w:name w:val="Unresolved Mention"/>
    <w:basedOn w:val="DefaultParagraphFont"/>
    <w:uiPriority w:val="99"/>
    <w:semiHidden/>
    <w:unhideWhenUsed/>
    <w:rsid w:val="00F833DB"/>
    <w:rPr>
      <w:color w:val="605E5C"/>
      <w:shd w:val="clear" w:color="auto" w:fill="E1DFDD"/>
    </w:rPr>
  </w:style>
  <w:style w:type="paragraph" w:styleId="Header">
    <w:name w:val="header"/>
    <w:basedOn w:val="Normal"/>
    <w:link w:val="HeaderChar"/>
    <w:uiPriority w:val="99"/>
    <w:unhideWhenUsed/>
    <w:rsid w:val="00D552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52F6"/>
    <w:rPr>
      <w:rFonts w:asciiTheme="minorHAnsi" w:hAnsiTheme="minorHAnsi" w:cstheme="minorBidi"/>
    </w:rPr>
  </w:style>
  <w:style w:type="paragraph" w:styleId="Footer">
    <w:name w:val="footer"/>
    <w:basedOn w:val="Normal"/>
    <w:link w:val="FooterChar"/>
    <w:uiPriority w:val="99"/>
    <w:unhideWhenUsed/>
    <w:rsid w:val="00D552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52F6"/>
    <w:rPr>
      <w:rFonts w:ascii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87463">
      <w:bodyDiv w:val="1"/>
      <w:marLeft w:val="0"/>
      <w:marRight w:val="0"/>
      <w:marTop w:val="0"/>
      <w:marBottom w:val="0"/>
      <w:divBdr>
        <w:top w:val="none" w:sz="0" w:space="0" w:color="auto"/>
        <w:left w:val="none" w:sz="0" w:space="0" w:color="auto"/>
        <w:bottom w:val="none" w:sz="0" w:space="0" w:color="auto"/>
        <w:right w:val="none" w:sz="0" w:space="0" w:color="auto"/>
      </w:divBdr>
      <w:divsChild>
        <w:div w:id="647782984">
          <w:marLeft w:val="0"/>
          <w:marRight w:val="0"/>
          <w:marTop w:val="0"/>
          <w:marBottom w:val="0"/>
          <w:divBdr>
            <w:top w:val="none" w:sz="0" w:space="0" w:color="auto"/>
            <w:left w:val="none" w:sz="0" w:space="0" w:color="auto"/>
            <w:bottom w:val="none" w:sz="0" w:space="0" w:color="auto"/>
            <w:right w:val="none" w:sz="0" w:space="0" w:color="auto"/>
          </w:divBdr>
        </w:div>
      </w:divsChild>
    </w:div>
    <w:div w:id="403263800">
      <w:bodyDiv w:val="1"/>
      <w:marLeft w:val="0"/>
      <w:marRight w:val="0"/>
      <w:marTop w:val="0"/>
      <w:marBottom w:val="0"/>
      <w:divBdr>
        <w:top w:val="none" w:sz="0" w:space="0" w:color="auto"/>
        <w:left w:val="none" w:sz="0" w:space="0" w:color="auto"/>
        <w:bottom w:val="none" w:sz="0" w:space="0" w:color="auto"/>
        <w:right w:val="none" w:sz="0" w:space="0" w:color="auto"/>
      </w:divBdr>
    </w:div>
    <w:div w:id="768430917">
      <w:bodyDiv w:val="1"/>
      <w:marLeft w:val="0"/>
      <w:marRight w:val="0"/>
      <w:marTop w:val="0"/>
      <w:marBottom w:val="0"/>
      <w:divBdr>
        <w:top w:val="none" w:sz="0" w:space="0" w:color="auto"/>
        <w:left w:val="none" w:sz="0" w:space="0" w:color="auto"/>
        <w:bottom w:val="none" w:sz="0" w:space="0" w:color="auto"/>
        <w:right w:val="none" w:sz="0" w:space="0" w:color="auto"/>
      </w:divBdr>
    </w:div>
    <w:div w:id="1014260182">
      <w:bodyDiv w:val="1"/>
      <w:marLeft w:val="0"/>
      <w:marRight w:val="0"/>
      <w:marTop w:val="0"/>
      <w:marBottom w:val="0"/>
      <w:divBdr>
        <w:top w:val="none" w:sz="0" w:space="0" w:color="auto"/>
        <w:left w:val="none" w:sz="0" w:space="0" w:color="auto"/>
        <w:bottom w:val="none" w:sz="0" w:space="0" w:color="auto"/>
        <w:right w:val="none" w:sz="0" w:space="0" w:color="auto"/>
      </w:divBdr>
    </w:div>
    <w:div w:id="1268269383">
      <w:bodyDiv w:val="1"/>
      <w:marLeft w:val="0"/>
      <w:marRight w:val="0"/>
      <w:marTop w:val="0"/>
      <w:marBottom w:val="0"/>
      <w:divBdr>
        <w:top w:val="none" w:sz="0" w:space="0" w:color="auto"/>
        <w:left w:val="none" w:sz="0" w:space="0" w:color="auto"/>
        <w:bottom w:val="none" w:sz="0" w:space="0" w:color="auto"/>
        <w:right w:val="none" w:sz="0" w:space="0" w:color="auto"/>
      </w:divBdr>
    </w:div>
    <w:div w:id="1550217715">
      <w:bodyDiv w:val="1"/>
      <w:marLeft w:val="0"/>
      <w:marRight w:val="0"/>
      <w:marTop w:val="0"/>
      <w:marBottom w:val="0"/>
      <w:divBdr>
        <w:top w:val="none" w:sz="0" w:space="0" w:color="auto"/>
        <w:left w:val="none" w:sz="0" w:space="0" w:color="auto"/>
        <w:bottom w:val="none" w:sz="0" w:space="0" w:color="auto"/>
        <w:right w:val="none" w:sz="0" w:space="0" w:color="auto"/>
      </w:divBdr>
    </w:div>
    <w:div w:id="2120446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aii.com/sentimentsurvey"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openinsider.com/" TargetMode="Externa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finance.yahoo.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405</TotalTime>
  <Pages>5</Pages>
  <Words>1271</Words>
  <Characters>7251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Kaschmitter</dc:creator>
  <cp:keywords/>
  <dc:description/>
  <cp:lastModifiedBy>Luke Kaschmitter</cp:lastModifiedBy>
  <cp:revision>27</cp:revision>
  <dcterms:created xsi:type="dcterms:W3CDTF">2023-12-12T23:18:00Z</dcterms:created>
  <dcterms:modified xsi:type="dcterms:W3CDTF">2023-12-13T06:05:00Z</dcterms:modified>
</cp:coreProperties>
</file>