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517617528" w:displacedByCustomXml="next" w:id="0"/>
    <w:bookmarkStart w:name="_Toc1367610133"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303F28"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303F28"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303F28"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03F28"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03F28"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03F28"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03F28"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03F28"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03F28"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03F28"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303F28"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13F00932"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13F00932"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13F00932" w:rsidRDefault="00B7788F" w14:paraId="2819F8C6" w14:textId="145A9BC7">
            <w:pPr>
              <w:spacing/>
              <w:contextualSpacing/>
              <w:jc w:val="center"/>
              <w:rPr>
                <w:rFonts w:eastAsia="Times New Roman" w:cs="Calibri" w:cstheme="minorAscii"/>
                <w:b w:val="1"/>
                <w:bCs w:val="1"/>
                <w:sz w:val="22"/>
                <w:szCs w:val="22"/>
              </w:rPr>
            </w:pPr>
            <w:r w:rsidRPr="13F00932" w:rsidR="7DE6D0FD">
              <w:rPr>
                <w:rFonts w:eastAsia="Times New Roman" w:cs="Calibri" w:cstheme="minorAscii"/>
                <w:b w:val="1"/>
                <w:bCs w:val="1"/>
                <w:sz w:val="22"/>
                <w:szCs w:val="22"/>
              </w:rPr>
              <w:t>6/21/24</w:t>
            </w:r>
          </w:p>
        </w:tc>
        <w:tc>
          <w:tcPr>
            <w:tcW w:w="2338" w:type="dxa"/>
            <w:tcMar>
              <w:left w:w="115" w:type="dxa"/>
              <w:right w:w="115" w:type="dxa"/>
            </w:tcMar>
          </w:tcPr>
          <w:p w:rsidRPr="00B7788F" w:rsidR="00531FBF" w:rsidP="13F00932" w:rsidRDefault="00B7788F" w14:paraId="07699096" w14:textId="6A042B46">
            <w:pPr>
              <w:spacing/>
              <w:contextualSpacing/>
              <w:jc w:val="center"/>
              <w:rPr>
                <w:rFonts w:eastAsia="Times New Roman" w:cs="Calibri" w:cstheme="minorAscii"/>
                <w:b w:val="1"/>
                <w:bCs w:val="1"/>
                <w:sz w:val="22"/>
                <w:szCs w:val="22"/>
              </w:rPr>
            </w:pPr>
            <w:r w:rsidRPr="13F00932" w:rsidR="7DE6D0FD">
              <w:rPr>
                <w:rFonts w:eastAsia="Times New Roman" w:cs="Calibri" w:cstheme="minorAscii"/>
                <w:b w:val="1"/>
                <w:bCs w:val="1"/>
                <w:sz w:val="22"/>
                <w:szCs w:val="22"/>
              </w:rPr>
              <w:t>Luke Kundinger</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Pr="00B7788F">
        <w:lastRenderedPageBreak/>
        <w:t>Developer</w:t>
      </w:r>
      <w:bookmarkEnd w:id="12"/>
      <w:bookmarkEnd w:id="13"/>
      <w:bookmarkEnd w:id="14"/>
    </w:p>
    <w:p w:rsidRPr="00B7788F" w:rsidR="00485402" w:rsidP="13F00932" w:rsidRDefault="0058064D" w14:paraId="1A894830" w14:textId="524CA0C0">
      <w:pPr>
        <w:spacing/>
        <w:contextualSpacing/>
        <w:rPr>
          <w:rFonts w:cs="Calibri" w:cstheme="minorAscii"/>
          <w:sz w:val="22"/>
          <w:szCs w:val="22"/>
        </w:rPr>
      </w:pPr>
      <w:r w:rsidRPr="13F00932" w:rsidR="59387F3F">
        <w:rPr>
          <w:rFonts w:cs="Calibri" w:cstheme="minorAscii"/>
          <w:sz w:val="22"/>
          <w:szCs w:val="22"/>
        </w:rPr>
        <w:t>Luke Kundinger</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Pr="00B7788F" w:rsidR="00C32F3D" w:rsidP="13F00932" w:rsidRDefault="00DB5652" w14:paraId="01E998F7" w14:textId="7E2B6796">
      <w:pPr>
        <w:spacing w:after="0" w:line="259" w:lineRule="auto"/>
        <w:ind w:firstLine="720"/>
        <w:contextualSpacing/>
        <w:rPr>
          <w:rFonts w:ascii="Calibri" w:hAnsi="Calibri" w:eastAsia="Calibri" w:cs="Calibri"/>
          <w:noProof w:val="0"/>
          <w:sz w:val="22"/>
          <w:szCs w:val="22"/>
          <w:lang w:val="en-US"/>
        </w:rPr>
      </w:pPr>
      <w:r w:rsidRPr="13F00932" w:rsidR="348B62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encryption algorithm cipher that I recommend deploying is SHA-256. </w:t>
      </w:r>
      <w:r w:rsidRPr="13F00932" w:rsidR="2EC527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uses six hash functions and 256 bits. </w:t>
      </w:r>
      <w:r w:rsidRPr="13F00932" w:rsidR="09EC5A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SHA-256 is </w:t>
      </w:r>
      <w:r w:rsidRPr="13F00932" w:rsidR="09EC5AFF">
        <w:rPr>
          <w:rFonts w:ascii="Calibri" w:hAnsi="Calibri" w:eastAsia="Calibri" w:cs="Calibri"/>
          <w:b w:val="0"/>
          <w:bCs w:val="0"/>
          <w:i w:val="0"/>
          <w:iCs w:val="0"/>
          <w:caps w:val="0"/>
          <w:smallCaps w:val="0"/>
          <w:noProof w:val="0"/>
          <w:color w:val="000000" w:themeColor="text1" w:themeTint="FF" w:themeShade="FF"/>
          <w:sz w:val="22"/>
          <w:szCs w:val="22"/>
          <w:lang w:val="en-US"/>
        </w:rPr>
        <w:t>a very good algorithm cipher for avoiding collisions. This is important because it is near impossible to get the same hash value for more than one input. Strong resistance to collisions is a key attribute of a secure algorithm cipher.</w:t>
      </w:r>
    </w:p>
    <w:p w:rsidRPr="00B7788F" w:rsidR="00C32F3D" w:rsidP="13F00932" w:rsidRDefault="00DB5652" w14:paraId="4E6C3CA8" w14:textId="33D8D6B6">
      <w:pPr>
        <w:spacing w:after="0" w:afterAutospacing="off" w:line="259" w:lineRule="auto"/>
        <w:ind w:firstLine="720"/>
        <w:contextualSpacing/>
        <w:rPr>
          <w:rFonts w:ascii="Calibri" w:hAnsi="Calibri" w:eastAsia="Calibri" w:cs="Calibri"/>
          <w:noProof w:val="0"/>
          <w:sz w:val="22"/>
          <w:szCs w:val="22"/>
          <w:lang w:val="en-US"/>
        </w:rPr>
      </w:pPr>
      <w:r w:rsidRPr="13F00932" w:rsidR="195008F6">
        <w:rPr>
          <w:rFonts w:ascii="Calibri" w:hAnsi="Calibri" w:eastAsia="Calibri" w:cs="Calibri"/>
          <w:b w:val="0"/>
          <w:bCs w:val="0"/>
          <w:i w:val="0"/>
          <w:iCs w:val="0"/>
          <w:caps w:val="0"/>
          <w:smallCaps w:val="0"/>
          <w:noProof w:val="0"/>
          <w:color w:val="000000" w:themeColor="text1" w:themeTint="FF" w:themeShade="FF"/>
          <w:sz w:val="22"/>
          <w:szCs w:val="22"/>
          <w:lang w:val="en-US"/>
        </w:rPr>
        <w:t>Random numbers play a role in generating secure keys for unpredictability. Symmetric keys use the same key for encryption and decryption, where non-symmetric keys use a public key and a private key. The process of encryption is much faster for a symmetric key compared to a non-symmetric key because of its complexity. The increased complexity of the non-symmetric key provides more security. Encryption algorithms were first used by Juli</w:t>
      </w:r>
      <w:r w:rsidRPr="13F00932" w:rsidR="4370DD35">
        <w:rPr>
          <w:rFonts w:ascii="Calibri" w:hAnsi="Calibri" w:eastAsia="Calibri" w:cs="Calibri"/>
          <w:b w:val="0"/>
          <w:bCs w:val="0"/>
          <w:i w:val="0"/>
          <w:iCs w:val="0"/>
          <w:caps w:val="0"/>
          <w:smallCaps w:val="0"/>
          <w:noProof w:val="0"/>
          <w:color w:val="000000" w:themeColor="text1" w:themeTint="FF" w:themeShade="FF"/>
          <w:sz w:val="22"/>
          <w:szCs w:val="22"/>
          <w:lang w:val="en-US"/>
        </w:rPr>
        <w:t>u</w:t>
      </w:r>
      <w:r w:rsidRPr="13F00932" w:rsidR="195008F6">
        <w:rPr>
          <w:rFonts w:ascii="Calibri" w:hAnsi="Calibri" w:eastAsia="Calibri" w:cs="Calibri"/>
          <w:b w:val="0"/>
          <w:bCs w:val="0"/>
          <w:i w:val="0"/>
          <w:iCs w:val="0"/>
          <w:caps w:val="0"/>
          <w:smallCaps w:val="0"/>
          <w:noProof w:val="0"/>
          <w:color w:val="000000" w:themeColor="text1" w:themeTint="FF" w:themeShade="FF"/>
          <w:sz w:val="22"/>
          <w:szCs w:val="22"/>
          <w:lang w:val="en-US"/>
        </w:rPr>
        <w:t>s C</w:t>
      </w:r>
      <w:r w:rsidRPr="13F00932" w:rsidR="1C495DF5">
        <w:rPr>
          <w:rFonts w:ascii="Calibri" w:hAnsi="Calibri" w:eastAsia="Calibri" w:cs="Calibri"/>
          <w:b w:val="0"/>
          <w:bCs w:val="0"/>
          <w:i w:val="0"/>
          <w:iCs w:val="0"/>
          <w:caps w:val="0"/>
          <w:smallCaps w:val="0"/>
          <w:noProof w:val="0"/>
          <w:color w:val="000000" w:themeColor="text1" w:themeTint="FF" w:themeShade="FF"/>
          <w:sz w:val="22"/>
          <w:szCs w:val="22"/>
          <w:lang w:val="en-US"/>
        </w:rPr>
        <w:t>ae</w:t>
      </w:r>
      <w:r w:rsidRPr="13F00932" w:rsidR="195008F6">
        <w:rPr>
          <w:rFonts w:ascii="Calibri" w:hAnsi="Calibri" w:eastAsia="Calibri" w:cs="Calibri"/>
          <w:b w:val="0"/>
          <w:bCs w:val="0"/>
          <w:i w:val="0"/>
          <w:iCs w:val="0"/>
          <w:caps w:val="0"/>
          <w:smallCaps w:val="0"/>
          <w:noProof w:val="0"/>
          <w:color w:val="000000" w:themeColor="text1" w:themeTint="FF" w:themeShade="FF"/>
          <w:sz w:val="22"/>
          <w:szCs w:val="22"/>
          <w:lang w:val="en-US"/>
        </w:rPr>
        <w:t>sar by shifting letters in the alphabet. Over the years encryption algorithms adopted the use of keys to make encryption more complex. In modern times the use of symmetric and non-symmetric keys is widespread, with AES and RSA being the most common. Encryption algorithms have become extraordinarily complex, and experts have estimated that RSA 2048 can be broken by 2035 with quantum computing.</w:t>
      </w:r>
    </w:p>
    <w:p w:rsidRPr="00B7788F" w:rsidR="00C32F3D" w:rsidP="13F00932" w:rsidRDefault="00DB5652" w14:paraId="5CE6734A" w14:textId="611C3BBD">
      <w:pPr>
        <w:pStyle w:val="Normal"/>
        <w:spacing/>
        <w:contextualSpacing/>
        <w:rPr>
          <w:rFonts w:eastAsia="Times New Roman"/>
          <w:sz w:val="22"/>
          <w:szCs w:val="22"/>
        </w:rPr>
      </w:pP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002778D5" w:rsidP="13F00932" w:rsidRDefault="00DB5652" w14:paraId="1A30C4D3" w14:textId="2F2D6143">
      <w:pPr>
        <w:pStyle w:val="Normal"/>
        <w:spacing/>
        <w:contextualSpacing/>
      </w:pPr>
      <w:r w:rsidR="50B8E8AA">
        <w:drawing>
          <wp:inline wp14:editId="0EFA119D" wp14:anchorId="124990AA">
            <wp:extent cx="5943600" cy="2371725"/>
            <wp:effectExtent l="0" t="0" r="0" b="0"/>
            <wp:docPr id="991428964" name="" title=""/>
            <wp:cNvGraphicFramePr>
              <a:graphicFrameLocks noChangeAspect="1"/>
            </wp:cNvGraphicFramePr>
            <a:graphic>
              <a:graphicData uri="http://schemas.openxmlformats.org/drawingml/2006/picture">
                <pic:pic>
                  <pic:nvPicPr>
                    <pic:cNvPr id="0" name=""/>
                    <pic:cNvPicPr/>
                  </pic:nvPicPr>
                  <pic:blipFill>
                    <a:blip r:embed="R7771e11755ae4563">
                      <a:extLst>
                        <a:ext xmlns:a="http://schemas.openxmlformats.org/drawingml/2006/main" uri="{28A0092B-C50C-407E-A947-70E740481C1C}">
                          <a14:useLocalDpi val="0"/>
                        </a:ext>
                      </a:extLst>
                    </a:blip>
                    <a:stretch>
                      <a:fillRect/>
                    </a:stretch>
                  </pic:blipFill>
                  <pic:spPr>
                    <a:xfrm>
                      <a:off x="0" y="0"/>
                      <a:ext cx="5943600" cy="2371725"/>
                    </a:xfrm>
                    <a:prstGeom prst="rect">
                      <a:avLst/>
                    </a:prstGeom>
                  </pic:spPr>
                </pic:pic>
              </a:graphicData>
            </a:graphic>
          </wp:inline>
        </w:drawing>
      </w:r>
      <w:r>
        <w:br/>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0C56FC2" w:rsidP="13F00932" w:rsidRDefault="00DB5652" w14:paraId="320DBB8C" w14:textId="005989A7">
      <w:pPr>
        <w:pStyle w:val="Normal"/>
        <w:spacing/>
        <w:contextualSpacing/>
      </w:pPr>
      <w:r w:rsidR="406CF289">
        <w:drawing>
          <wp:inline wp14:editId="08C4EC3F" wp14:anchorId="60DCE3F8">
            <wp:extent cx="5943600" cy="942975"/>
            <wp:effectExtent l="0" t="0" r="0" b="0"/>
            <wp:docPr id="755423323" name="" title=""/>
            <wp:cNvGraphicFramePr>
              <a:graphicFrameLocks noChangeAspect="1"/>
            </wp:cNvGraphicFramePr>
            <a:graphic>
              <a:graphicData uri="http://schemas.openxmlformats.org/drawingml/2006/picture">
                <pic:pic>
                  <pic:nvPicPr>
                    <pic:cNvPr id="0" name=""/>
                    <pic:cNvPicPr/>
                  </pic:nvPicPr>
                  <pic:blipFill>
                    <a:blip r:embed="Re5462c850bbf49ad">
                      <a:extLst>
                        <a:ext xmlns:a="http://schemas.openxmlformats.org/drawingml/2006/main" uri="{28A0092B-C50C-407E-A947-70E740481C1C}">
                          <a14:useLocalDpi val="0"/>
                        </a:ext>
                      </a:extLst>
                    </a:blip>
                    <a:stretch>
                      <a:fillRect/>
                    </a:stretch>
                  </pic:blipFill>
                  <pic:spPr>
                    <a:xfrm>
                      <a:off x="0" y="0"/>
                      <a:ext cx="5943600" cy="942975"/>
                    </a:xfrm>
                    <a:prstGeom prst="rect">
                      <a:avLst/>
                    </a:prstGeom>
                  </pic:spPr>
                </pic:pic>
              </a:graphicData>
            </a:graphic>
          </wp:inline>
        </w:drawing>
      </w:r>
      <w:r>
        <w:br/>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000202DE" w:rsidP="13F00932" w:rsidRDefault="00DB5652" w14:paraId="51D92974" w14:textId="24A2C532">
      <w:pPr>
        <w:pStyle w:val="Normal"/>
        <w:spacing/>
        <w:contextualSpacing/>
      </w:pPr>
      <w:r w:rsidR="629A2768">
        <w:drawing>
          <wp:inline wp14:editId="46243F61" wp14:anchorId="565EB7FD">
            <wp:extent cx="5943600" cy="942975"/>
            <wp:effectExtent l="0" t="0" r="0" b="0"/>
            <wp:docPr id="1635907247" name="" title=""/>
            <wp:cNvGraphicFramePr>
              <a:graphicFrameLocks noChangeAspect="1"/>
            </wp:cNvGraphicFramePr>
            <a:graphic>
              <a:graphicData uri="http://schemas.openxmlformats.org/drawingml/2006/picture">
                <pic:pic>
                  <pic:nvPicPr>
                    <pic:cNvPr id="0" name=""/>
                    <pic:cNvPicPr/>
                  </pic:nvPicPr>
                  <pic:blipFill>
                    <a:blip r:embed="R9a19072dc2cb4cb7">
                      <a:extLst>
                        <a:ext xmlns:a="http://schemas.openxmlformats.org/drawingml/2006/main" uri="{28A0092B-C50C-407E-A947-70E740481C1C}">
                          <a14:useLocalDpi val="0"/>
                        </a:ext>
                      </a:extLst>
                    </a:blip>
                    <a:stretch>
                      <a:fillRect/>
                    </a:stretch>
                  </pic:blipFill>
                  <pic:spPr>
                    <a:xfrm>
                      <a:off x="0" y="0"/>
                      <a:ext cx="5943600" cy="942975"/>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00E33862" w:rsidP="13F00932" w:rsidRDefault="00DB5652" w14:paraId="7F9143A1" w14:textId="7C185A84">
      <w:pPr>
        <w:pStyle w:val="Normal"/>
        <w:spacing/>
        <w:contextualSpacing/>
      </w:pPr>
      <w:r w:rsidR="370D5DB0">
        <w:drawing>
          <wp:inline wp14:editId="02CF6352" wp14:anchorId="2749EF11">
            <wp:extent cx="5943600" cy="3257550"/>
            <wp:effectExtent l="0" t="0" r="0" b="0"/>
            <wp:docPr id="356607354" name="" title=""/>
            <wp:cNvGraphicFramePr>
              <a:graphicFrameLocks noChangeAspect="1"/>
            </wp:cNvGraphicFramePr>
            <a:graphic>
              <a:graphicData uri="http://schemas.openxmlformats.org/drawingml/2006/picture">
                <pic:pic>
                  <pic:nvPicPr>
                    <pic:cNvPr id="0" name=""/>
                    <pic:cNvPicPr/>
                  </pic:nvPicPr>
                  <pic:blipFill>
                    <a:blip r:embed="Rce34b89055774c2a">
                      <a:extLst>
                        <a:ext xmlns:a="http://schemas.openxmlformats.org/drawingml/2006/main" uri="{28A0092B-C50C-407E-A947-70E740481C1C}">
                          <a14:useLocalDpi val="0"/>
                        </a:ext>
                      </a:extLst>
                    </a:blip>
                    <a:stretch>
                      <a:fillRect/>
                    </a:stretch>
                  </pic:blipFill>
                  <pic:spPr>
                    <a:xfrm>
                      <a:off x="0" y="0"/>
                      <a:ext cx="5943600" cy="3257550"/>
                    </a:xfrm>
                    <a:prstGeom prst="rect">
                      <a:avLst/>
                    </a:prstGeom>
                  </pic:spPr>
                </pic:pic>
              </a:graphicData>
            </a:graphic>
          </wp:inline>
        </w:drawing>
      </w:r>
    </w:p>
    <w:p w:rsidR="130080A1" w:rsidP="13F00932" w:rsidRDefault="130080A1" w14:paraId="12A7390F" w14:textId="47A51555">
      <w:pPr>
        <w:pStyle w:val="Normal"/>
        <w:spacing/>
        <w:contextualSpacing/>
      </w:pPr>
      <w:r w:rsidR="130080A1">
        <w:drawing>
          <wp:inline wp14:editId="693F3336" wp14:anchorId="75DF457C">
            <wp:extent cx="5943600" cy="3343275"/>
            <wp:effectExtent l="0" t="0" r="0" b="0"/>
            <wp:docPr id="1493335171" name="" title=""/>
            <wp:cNvGraphicFramePr>
              <a:graphicFrameLocks noChangeAspect="1"/>
            </wp:cNvGraphicFramePr>
            <a:graphic>
              <a:graphicData uri="http://schemas.openxmlformats.org/drawingml/2006/picture">
                <pic:pic>
                  <pic:nvPicPr>
                    <pic:cNvPr id="0" name=""/>
                    <pic:cNvPicPr/>
                  </pic:nvPicPr>
                  <pic:blipFill>
                    <a:blip r:embed="R40429f9849bd44e6">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4044A" w:rsidP="13F00932" w:rsidRDefault="00DB5652" w14:paraId="1F425485" w14:textId="0D41484D">
      <w:pPr>
        <w:pStyle w:val="Normal"/>
        <w:spacing/>
        <w:contextualSpacing/>
        <w:rPr>
          <w:rFonts w:eastAsia="Times New Roman" w:cs="Calibri" w:cstheme="minorAscii"/>
          <w:sz w:val="22"/>
          <w:szCs w:val="22"/>
        </w:rPr>
      </w:pPr>
      <w:r w:rsidR="6B789DCF">
        <w:drawing>
          <wp:inline wp14:editId="3D13FBD7" wp14:anchorId="373BF202">
            <wp:extent cx="5943600" cy="3248025"/>
            <wp:effectExtent l="0" t="0" r="0" b="0"/>
            <wp:docPr id="1246464114" name="" title=""/>
            <wp:cNvGraphicFramePr>
              <a:graphicFrameLocks noChangeAspect="1"/>
            </wp:cNvGraphicFramePr>
            <a:graphic>
              <a:graphicData uri="http://schemas.openxmlformats.org/drawingml/2006/picture">
                <pic:pic>
                  <pic:nvPicPr>
                    <pic:cNvPr id="0" name=""/>
                    <pic:cNvPicPr/>
                  </pic:nvPicPr>
                  <pic:blipFill>
                    <a:blip r:embed="Rfc69832c9e684bc5">
                      <a:extLst>
                        <a:ext xmlns:a="http://schemas.openxmlformats.org/drawingml/2006/main" uri="{28A0092B-C50C-407E-A947-70E740481C1C}">
                          <a14:useLocalDpi val="0"/>
                        </a:ext>
                      </a:extLst>
                    </a:blip>
                    <a:stretch>
                      <a:fillRect/>
                    </a:stretch>
                  </pic:blipFill>
                  <pic:spPr>
                    <a:xfrm>
                      <a:off x="0" y="0"/>
                      <a:ext cx="5943600" cy="3248025"/>
                    </a:xfrm>
                    <a:prstGeom prst="rect">
                      <a:avLst/>
                    </a:prstGeom>
                  </pic:spPr>
                </pic:pic>
              </a:graphicData>
            </a:graphic>
          </wp:inline>
        </w:drawing>
      </w:r>
      <w:r w:rsidRPr="13F00932" w:rsidR="00DB5652">
        <w:rPr>
          <w:rFonts w:eastAsia="Times New Roman" w:cs="Calibri" w:cstheme="minorAscii"/>
          <w:sz w:val="22"/>
          <w:szCs w:val="22"/>
        </w:rPr>
        <w:t xml:space="preserve"> </w:t>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20D193F" w:rsidP="00D47759" w:rsidRDefault="00DB5652" w14:paraId="0624AD01" w14:textId="6BAD6853">
      <w:pPr>
        <w:spacing/>
        <w:contextualSpacing/>
        <w:rPr>
          <w:rFonts w:eastAsia="Times New Roman"/>
          <w:sz w:val="22"/>
          <w:szCs w:val="22"/>
        </w:rPr>
      </w:pPr>
      <w:r w:rsidRPr="13F00932" w:rsidR="123245F5">
        <w:rPr>
          <w:rFonts w:eastAsia="Times New Roman"/>
          <w:sz w:val="22"/>
          <w:szCs w:val="22"/>
        </w:rPr>
        <w:t xml:space="preserve">By refactoring the code, I addressed security </w:t>
      </w:r>
      <w:r w:rsidRPr="13F00932" w:rsidR="65D5E233">
        <w:rPr>
          <w:rFonts w:eastAsia="Times New Roman"/>
          <w:sz w:val="22"/>
          <w:szCs w:val="22"/>
        </w:rPr>
        <w:t xml:space="preserve">with </w:t>
      </w:r>
      <w:r w:rsidRPr="13F00932" w:rsidR="413E791A">
        <w:rPr>
          <w:rFonts w:eastAsia="Times New Roman"/>
          <w:sz w:val="22"/>
          <w:szCs w:val="22"/>
        </w:rPr>
        <w:t>cryptography</w:t>
      </w:r>
      <w:r w:rsidRPr="13F00932" w:rsidR="65D5E233">
        <w:rPr>
          <w:rFonts w:eastAsia="Times New Roman"/>
          <w:sz w:val="22"/>
          <w:szCs w:val="22"/>
        </w:rPr>
        <w:t xml:space="preserve">, </w:t>
      </w:r>
      <w:r w:rsidRPr="13F00932" w:rsidR="09806E5E">
        <w:rPr>
          <w:rFonts w:eastAsia="Times New Roman"/>
          <w:sz w:val="22"/>
          <w:szCs w:val="22"/>
        </w:rPr>
        <w:t>client/server, and code quality.</w:t>
      </w:r>
      <w:r w:rsidRPr="13F00932" w:rsidR="79418DEA">
        <w:rPr>
          <w:rFonts w:eastAsia="Times New Roman"/>
          <w:sz w:val="22"/>
          <w:szCs w:val="22"/>
        </w:rPr>
        <w:t xml:space="preserve"> By using SHA-256, I used encryptions to keep the data secure. </w:t>
      </w:r>
      <w:r w:rsidRPr="13F00932" w:rsidR="09806E5E">
        <w:rPr>
          <w:rFonts w:eastAsia="Times New Roman"/>
          <w:sz w:val="22"/>
          <w:szCs w:val="22"/>
        </w:rPr>
        <w:t xml:space="preserve"> </w:t>
      </w:r>
      <w:r w:rsidRPr="13F00932" w:rsidR="6065FBD6">
        <w:rPr>
          <w:rFonts w:eastAsia="Times New Roman"/>
          <w:sz w:val="22"/>
          <w:szCs w:val="22"/>
        </w:rPr>
        <w:t xml:space="preserve">The client/server pattern was used by generating a certificate and connecting the </w:t>
      </w:r>
      <w:r w:rsidRPr="13F00932" w:rsidR="17A3B491">
        <w:rPr>
          <w:rFonts w:eastAsia="Times New Roman"/>
          <w:sz w:val="22"/>
          <w:szCs w:val="22"/>
        </w:rPr>
        <w:t>application to the web. Code quality was addressed mostly by adding the encryption and client/server functions, but also for changing the dependency che</w:t>
      </w:r>
      <w:r w:rsidRPr="13F00932" w:rsidR="6548EAC5">
        <w:rPr>
          <w:rFonts w:eastAsia="Times New Roman"/>
          <w:sz w:val="22"/>
          <w:szCs w:val="22"/>
        </w:rPr>
        <w:t xml:space="preserve">ck version. The process of </w:t>
      </w:r>
      <w:r w:rsidRPr="13F00932" w:rsidR="536C83F4">
        <w:rPr>
          <w:rFonts w:eastAsia="Times New Roman"/>
          <w:sz w:val="22"/>
          <w:szCs w:val="22"/>
        </w:rPr>
        <w:t xml:space="preserve">adding security to the code was implementing cryptography and use of client/server communication. A dependency check was also done to </w:t>
      </w:r>
      <w:r w:rsidRPr="13F00932" w:rsidR="13454F2B">
        <w:rPr>
          <w:rFonts w:eastAsia="Times New Roman"/>
          <w:sz w:val="22"/>
          <w:szCs w:val="22"/>
        </w:rPr>
        <w:t>review the security and find vulnerabilities.</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Pr="00B7788F" w:rsidR="00974AE3" w:rsidP="00D47759" w:rsidRDefault="620D193F" w14:paraId="052C684F" w14:textId="220C79E9">
      <w:pPr>
        <w:spacing/>
        <w:contextualSpacing/>
        <w:rPr>
          <w:rFonts w:eastAsia="Times New Roman"/>
          <w:sz w:val="22"/>
          <w:szCs w:val="22"/>
        </w:rPr>
      </w:pPr>
      <w:r w:rsidRPr="13F00932" w:rsidR="3049888A">
        <w:rPr>
          <w:rFonts w:eastAsia="Times New Roman"/>
          <w:sz w:val="22"/>
          <w:szCs w:val="22"/>
        </w:rPr>
        <w:t xml:space="preserve">Industry standard best practices include manually inspecting the code and running regular dependency checks. </w:t>
      </w:r>
      <w:r w:rsidRPr="13F00932" w:rsidR="49593639">
        <w:rPr>
          <w:rFonts w:eastAsia="Times New Roman"/>
          <w:sz w:val="22"/>
          <w:szCs w:val="22"/>
        </w:rPr>
        <w:t xml:space="preserve">When changes are made to the code it is important to make sure the program still functions as it should. Dependency checks should be conducted regularly </w:t>
      </w:r>
      <w:r w:rsidRPr="13F00932" w:rsidR="66BD2C79">
        <w:rPr>
          <w:rFonts w:eastAsia="Times New Roman"/>
          <w:sz w:val="22"/>
          <w:szCs w:val="22"/>
        </w:rPr>
        <w:t xml:space="preserve">to ensure the program </w:t>
      </w:r>
      <w:r w:rsidRPr="13F00932" w:rsidR="66BD2C79">
        <w:rPr>
          <w:rFonts w:eastAsia="Times New Roman"/>
          <w:sz w:val="22"/>
          <w:szCs w:val="22"/>
        </w:rPr>
        <w:t>isn’t</w:t>
      </w:r>
      <w:r w:rsidRPr="13F00932" w:rsidR="66BD2C79">
        <w:rPr>
          <w:rFonts w:eastAsia="Times New Roman"/>
          <w:sz w:val="22"/>
          <w:szCs w:val="22"/>
        </w:rPr>
        <w:t xml:space="preserve"> vulnerable to new dependencies.</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94497286">
    <w:abstractNumId w:val="16"/>
  </w:num>
  <w:num w:numId="2" w16cid:durableId="158620641">
    <w:abstractNumId w:val="20"/>
  </w:num>
  <w:num w:numId="3" w16cid:durableId="1838378748">
    <w:abstractNumId w:val="6"/>
  </w:num>
  <w:num w:numId="4" w16cid:durableId="149905996">
    <w:abstractNumId w:val="8"/>
  </w:num>
  <w:num w:numId="5" w16cid:durableId="1491173155">
    <w:abstractNumId w:val="4"/>
  </w:num>
  <w:num w:numId="6" w16cid:durableId="1545410560">
    <w:abstractNumId w:val="17"/>
  </w:num>
  <w:num w:numId="7" w16cid:durableId="969018879">
    <w:abstractNumId w:val="12"/>
    <w:lvlOverride w:ilvl="0">
      <w:lvl w:ilvl="0">
        <w:numFmt w:val="lowerLetter"/>
        <w:lvlText w:val="%1."/>
        <w:lvlJc w:val="left"/>
      </w:lvl>
    </w:lvlOverride>
  </w:num>
  <w:num w:numId="8" w16cid:durableId="167717432">
    <w:abstractNumId w:val="5"/>
  </w:num>
  <w:num w:numId="9" w16cid:durableId="1236818664">
    <w:abstractNumId w:val="1"/>
    <w:lvlOverride w:ilvl="0">
      <w:lvl w:ilvl="0">
        <w:numFmt w:val="lowerLetter"/>
        <w:lvlText w:val="%1."/>
        <w:lvlJc w:val="left"/>
      </w:lvl>
    </w:lvlOverride>
  </w:num>
  <w:num w:numId="10" w16cid:durableId="172381152">
    <w:abstractNumId w:val="0"/>
  </w:num>
  <w:num w:numId="11" w16cid:durableId="16466124">
    <w:abstractNumId w:val="3"/>
  </w:num>
  <w:num w:numId="12" w16cid:durableId="1458255312">
    <w:abstractNumId w:val="19"/>
  </w:num>
  <w:num w:numId="13" w16cid:durableId="500236375">
    <w:abstractNumId w:val="15"/>
  </w:num>
  <w:num w:numId="14" w16cid:durableId="2039310021">
    <w:abstractNumId w:val="2"/>
  </w:num>
  <w:num w:numId="15" w16cid:durableId="398410297">
    <w:abstractNumId w:val="11"/>
  </w:num>
  <w:num w:numId="16" w16cid:durableId="2071071236">
    <w:abstractNumId w:val="9"/>
  </w:num>
  <w:num w:numId="17" w16cid:durableId="1988389476">
    <w:abstractNumId w:val="14"/>
  </w:num>
  <w:num w:numId="18" w16cid:durableId="1436827660">
    <w:abstractNumId w:val="18"/>
  </w:num>
  <w:num w:numId="19" w16cid:durableId="1398016073">
    <w:abstractNumId w:val="7"/>
  </w:num>
  <w:num w:numId="20" w16cid:durableId="472142774">
    <w:abstractNumId w:val="13"/>
  </w:num>
  <w:num w:numId="21" w16cid:durableId="3109857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03F28"/>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59F4"/>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0906CDE0"/>
    <w:rsid w:val="09806E5E"/>
    <w:rsid w:val="09EC5AFF"/>
    <w:rsid w:val="0E1416DE"/>
    <w:rsid w:val="10B3C4F1"/>
    <w:rsid w:val="123245F5"/>
    <w:rsid w:val="130080A1"/>
    <w:rsid w:val="13454F2B"/>
    <w:rsid w:val="13F00932"/>
    <w:rsid w:val="146EF8F2"/>
    <w:rsid w:val="1742D4F0"/>
    <w:rsid w:val="17A3B491"/>
    <w:rsid w:val="191E7C53"/>
    <w:rsid w:val="195008F6"/>
    <w:rsid w:val="195DB78F"/>
    <w:rsid w:val="1C495DF5"/>
    <w:rsid w:val="1FA2FC07"/>
    <w:rsid w:val="1FCCF913"/>
    <w:rsid w:val="2168C974"/>
    <w:rsid w:val="236039E6"/>
    <w:rsid w:val="275A6BDC"/>
    <w:rsid w:val="2C259545"/>
    <w:rsid w:val="2CB369A1"/>
    <w:rsid w:val="2E52608A"/>
    <w:rsid w:val="2E5D5C8F"/>
    <w:rsid w:val="2EC52734"/>
    <w:rsid w:val="2F43C643"/>
    <w:rsid w:val="2FEEE857"/>
    <w:rsid w:val="2FF12CAF"/>
    <w:rsid w:val="3049888A"/>
    <w:rsid w:val="3065F8F3"/>
    <w:rsid w:val="30A2BF11"/>
    <w:rsid w:val="329BBDBD"/>
    <w:rsid w:val="3322AB25"/>
    <w:rsid w:val="335CC398"/>
    <w:rsid w:val="347D29E8"/>
    <w:rsid w:val="348B6218"/>
    <w:rsid w:val="35D35E7F"/>
    <w:rsid w:val="370D5DB0"/>
    <w:rsid w:val="3AE22101"/>
    <w:rsid w:val="3BC013C1"/>
    <w:rsid w:val="3BF2DD1F"/>
    <w:rsid w:val="4007FAAC"/>
    <w:rsid w:val="406CF289"/>
    <w:rsid w:val="413E791A"/>
    <w:rsid w:val="4370DD35"/>
    <w:rsid w:val="44136985"/>
    <w:rsid w:val="454174DB"/>
    <w:rsid w:val="454981D9"/>
    <w:rsid w:val="4618D6BA"/>
    <w:rsid w:val="46C5FE16"/>
    <w:rsid w:val="47F056AF"/>
    <w:rsid w:val="48E6DAA8"/>
    <w:rsid w:val="49593639"/>
    <w:rsid w:val="4A82AB09"/>
    <w:rsid w:val="4E510242"/>
    <w:rsid w:val="5018F677"/>
    <w:rsid w:val="50B8E8AA"/>
    <w:rsid w:val="51391587"/>
    <w:rsid w:val="517ED4A5"/>
    <w:rsid w:val="52C1FAF7"/>
    <w:rsid w:val="536C83F4"/>
    <w:rsid w:val="56954D80"/>
    <w:rsid w:val="57BCEF9F"/>
    <w:rsid w:val="59344C44"/>
    <w:rsid w:val="59387F3F"/>
    <w:rsid w:val="5A02075A"/>
    <w:rsid w:val="5B587107"/>
    <w:rsid w:val="5B95489A"/>
    <w:rsid w:val="5DD73C14"/>
    <w:rsid w:val="604FE896"/>
    <w:rsid w:val="6065FBD6"/>
    <w:rsid w:val="620D193F"/>
    <w:rsid w:val="6292A5E1"/>
    <w:rsid w:val="629A2768"/>
    <w:rsid w:val="6548EAC5"/>
    <w:rsid w:val="65D5E233"/>
    <w:rsid w:val="66BD2C79"/>
    <w:rsid w:val="66F2855A"/>
    <w:rsid w:val="681DCBB2"/>
    <w:rsid w:val="68AC5330"/>
    <w:rsid w:val="69DDBFCF"/>
    <w:rsid w:val="69EDBCD2"/>
    <w:rsid w:val="6A1B3F6C"/>
    <w:rsid w:val="6A71AA64"/>
    <w:rsid w:val="6B4455D7"/>
    <w:rsid w:val="6B789DCF"/>
    <w:rsid w:val="6D4E6B20"/>
    <w:rsid w:val="6E4A3A72"/>
    <w:rsid w:val="70CADEB7"/>
    <w:rsid w:val="7101F37A"/>
    <w:rsid w:val="7548143E"/>
    <w:rsid w:val="77AA5D0C"/>
    <w:rsid w:val="783D8A15"/>
    <w:rsid w:val="79418DEA"/>
    <w:rsid w:val="7A3396CB"/>
    <w:rsid w:val="7AA95D77"/>
    <w:rsid w:val="7C567870"/>
    <w:rsid w:val="7DE6D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7771e11755ae4563" /><Relationship Type="http://schemas.openxmlformats.org/officeDocument/2006/relationships/image" Target="/media/image4.png" Id="Re5462c850bbf49ad" /><Relationship Type="http://schemas.openxmlformats.org/officeDocument/2006/relationships/image" Target="/media/image5.png" Id="R9a19072dc2cb4cb7" /><Relationship Type="http://schemas.openxmlformats.org/officeDocument/2006/relationships/image" Target="/media/image6.png" Id="Rce34b89055774c2a" /><Relationship Type="http://schemas.openxmlformats.org/officeDocument/2006/relationships/image" Target="/media/image7.png" Id="R40429f9849bd44e6" /><Relationship Type="http://schemas.openxmlformats.org/officeDocument/2006/relationships/image" Target="/media/image8.png" Id="Rfc69832c9e684b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4CE0B37128F84DB2FA95E9CFDBEEA8" ma:contentTypeVersion="4" ma:contentTypeDescription="Create a new document." ma:contentTypeScope="" ma:versionID="f209b12f66bedfc90354344b415da1f0">
  <xsd:schema xmlns:xsd="http://www.w3.org/2001/XMLSchema" xmlns:xs="http://www.w3.org/2001/XMLSchema" xmlns:p="http://schemas.microsoft.com/office/2006/metadata/properties" xmlns:ns3="e9e1f65f-fc83-485b-984e-f491e92cbde9" targetNamespace="http://schemas.microsoft.com/office/2006/metadata/properties" ma:root="true" ma:fieldsID="f8fd16da8186bfdf709d6307950b8688" ns3:_="">
    <xsd:import namespace="e9e1f65f-fc83-485b-984e-f491e92cbde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1f65f-fc83-485b-984e-f491e92cb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purl.org/dc/terms/"/>
    <ds:schemaRef ds:uri="http://purl.org/dc/dcmitype/"/>
    <ds:schemaRef ds:uri="http://schemas.microsoft.com/office/infopath/2007/PartnerControls"/>
    <ds:schemaRef ds:uri="e9e1f65f-fc83-485b-984e-f491e92cbde9"/>
    <ds:schemaRef ds:uri="http://www.w3.org/XML/1998/namespace"/>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40B13AED-D2AF-4E40-886B-E3739CB86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1f65f-fc83-485b-984e-f491e92cb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Kundinger, Luke</lastModifiedBy>
  <revision>3</revision>
  <dcterms:created xsi:type="dcterms:W3CDTF">2024-06-21T18:37:00.0000000Z</dcterms:created>
  <dcterms:modified xsi:type="dcterms:W3CDTF">2024-06-21T20:23:30.3643096Z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0x010100B14CE0B37128F84DB2FA95E9CFDBEEA8</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