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021" w:type="dxa"/>
        <w:tblInd w:w="-50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</w:tblBorders>
        <w:tblLook w:val="04A0"/>
      </w:tblPr>
      <w:tblGrid>
        <w:gridCol w:w="14021"/>
      </w:tblGrid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178" w:firstLine="322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(1)   Employers’ </w:t>
            </w:r>
            <w:r w:rsidR="00D401C4" w:rsidRPr="00972A9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Annual</w:t>
            </w:r>
            <w:r w:rsidRPr="00972A9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Tax Deduction </w:t>
            </w:r>
            <w:r w:rsidR="00583574" w:rsidRPr="00972A91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Schedule.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379" w:firstLine="68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This schedule shows all the details of the individual employees’ tax. This is made up of: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579" w:firstLine="104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(A)  Name of Employer: This is the name of the Employer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579" w:firstLine="104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(B)  Employer’s NEW TIN: This is the new 11 digit TIN of the Employer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579" w:firstLine="104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(C)  Employer’s OLD TIN: This is the old 10 digit TIN of the Employer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579" w:firstLine="104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(D)  </w:t>
            </w:r>
            <w:r w:rsidR="00D401C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Year 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for which the tax details are relate</w:t>
            </w:r>
          </w:p>
        </w:tc>
      </w:tr>
      <w:tr w:rsidR="008B4DC7" w:rsidRPr="00972A91" w:rsidTr="00583574">
        <w:trPr>
          <w:trHeight w:val="24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      Serial Number of Staff (This is the numerical listing of all Employees)</w:t>
            </w:r>
          </w:p>
        </w:tc>
      </w:tr>
      <w:tr w:rsidR="008B4DC7" w:rsidRPr="00972A91" w:rsidTr="00583574">
        <w:trPr>
          <w:trHeight w:val="231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      Name of Employee  : This is the name of the employee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491C2E" w:rsidRPr="00972A91" w:rsidRDefault="00491C2E" w:rsidP="00972A91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      Employee TIN: This is the new 11 digit TIN of the Employee</w:t>
            </w:r>
          </w:p>
          <w:p w:rsidR="008B4DC7" w:rsidRPr="00972A91" w:rsidRDefault="00491C2E" w:rsidP="00972A91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  <w:r w:rsidR="008B4DC7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      Position: This is the position, grade or rank of the employee. For  Fresh     Graduates, mark (X) in this column</w:t>
            </w:r>
          </w:p>
        </w:tc>
      </w:tr>
      <w:tr w:rsidR="008B4DC7" w:rsidRPr="00972A91" w:rsidTr="00583574">
        <w:trPr>
          <w:trHeight w:val="249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5.      Non-Resident: If non-resident, tick this column 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Chars="633" w:left="1402" w:hangingChars="5" w:hanging="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6.      Basic salary: This is the income represented by the </w:t>
            </w:r>
            <w:r w:rsidR="00D401C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ly salary paid to an employee and applicable to the grade, rank and position of the employee without the addition of any allowances or benefits paid in kind.</w:t>
            </w:r>
          </w:p>
        </w:tc>
      </w:tr>
      <w:tr w:rsidR="008B4DC7" w:rsidRPr="00972A91" w:rsidTr="00583574">
        <w:trPr>
          <w:trHeight w:val="249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Chars="637" w:left="140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7.      Secondary Employment: Indicate with a tick whether the employee is on secondary employment</w:t>
            </w:r>
          </w:p>
        </w:tc>
      </w:tr>
      <w:tr w:rsidR="008B4DC7" w:rsidRPr="00972A91" w:rsidTr="00583574">
        <w:trPr>
          <w:trHeight w:val="249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      Social Security Fund: This is the amount of Social security contributed by the employee and this must not be more than 5.5% of the employee’s basic salary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9.      Approved Provident Fund (the third tier pension scheme): This is the amount contributed by the employee in respect of a scheme that has been approved by the National Pensions Regulatory Authority (NPRA) and for which the Commissioner – General has granted the tax relief. The total amount claimable is limited to the employee’s contribution to the scheme and must not be more than 16.5% of the employee’s </w:t>
            </w:r>
            <w:r w:rsidR="00D401C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yearly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basic salary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  Cash Allowances: This is the sum of all cash allowances other than the employee’s basic salary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  Bonus Income (up to 15% of Basic Salary): This is up to 15%  of the employees basic salary and is subject to a concessionary tax rate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972A91" w:rsidP="00972A91">
            <w:pPr>
              <w:spacing w:after="0" w:line="240" w:lineRule="auto"/>
              <w:ind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1</w:t>
            </w:r>
            <w:r w:rsidR="008B4DC7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2.  Final Tax on Bonus: This is the final tax of 5% of the employee’s basic salary 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13.  Excess bonus: This is the difference between the bonus paid and 15% of the employee’s basic salary. 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972A91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14.  Total cash emolument: this is the sum of the basic salary, cash allowances and excess bonus (4+8+9)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Chars="637" w:left="1401" w:firstLine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15.  Accommodation element: Use the table in the second schedule of Internal Revenue Act, 2000 (Act 592) as amended to determine this benefit in kind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16.  Vehicle element: Use the table in the second schedule of Internal Revenue Act, 2000 (Act 592) as amended to determine this benefit in kind.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17.  Non-cash benefits: This is the sum of all cash equivalent of benefits other than cash (</w:t>
            </w:r>
            <w:r w:rsidR="0058357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e.g.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cost of detergents, toilet rolls, utility bills etc)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Chars="637" w:left="1401" w:firstLine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18.  Total Assessable Income: This is the sum of total cash emolument, accommodation and vehicle elements, and non-cash benefits </w:t>
            </w:r>
          </w:p>
        </w:tc>
      </w:tr>
      <w:tr w:rsidR="008B4DC7" w:rsidRPr="00972A91" w:rsidTr="00583574">
        <w:trPr>
          <w:trHeight w:val="222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19.  Deductible Reliefs: This is the sum of allowable pension reliefs granted to the employee (this is made up of : SSF, Approved 3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rd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Tier Scheme(if applicable)</w:t>
            </w:r>
          </w:p>
        </w:tc>
      </w:tr>
      <w:tr w:rsidR="008B4DC7" w:rsidRPr="00972A91" w:rsidTr="00583574">
        <w:trPr>
          <w:trHeight w:val="36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20.  Total Reliefs: This is the sum of allowable pension reliefs granted to the employee (this is made up of : SSF, Approved 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perscript"/>
              </w:rPr>
              <w:t>3rd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Tier Scheme(if applicable) and all applicable upfront reliefs under section 39 of Act 592 as amended and Regulation 32 of the Internal Revenue Regulation 2001 as amended)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21.  Chargeable Income: This is the total assessable income less total reliefs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22.  Tax deductible: This is the value of tax on total taxable emolument using the rates in the First schedule of Internal Revenue Act, 2000 (Act 592) as amended. </w:t>
            </w:r>
          </w:p>
        </w:tc>
      </w:tr>
      <w:tr w:rsidR="008B4DC7" w:rsidRPr="00972A91" w:rsidTr="00583574">
        <w:trPr>
          <w:trHeight w:val="213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  Over time Income: This is the value of overtime paid to a Qualifying Junior Employee whose qualifying Employment income is not more than GHC</w:t>
            </w:r>
            <w:r w:rsidR="00D401C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9,</w:t>
            </w: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800 per </w:t>
            </w:r>
            <w:r w:rsidR="00D401C4"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year</w:t>
            </w:r>
          </w:p>
        </w:tc>
      </w:tr>
      <w:tr w:rsidR="008B4DC7" w:rsidRPr="00972A91" w:rsidTr="00583574">
        <w:trPr>
          <w:trHeight w:val="204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right="-1733" w:hanging="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24.  Over time Tax : This is a final tax based on a concessionary rate under Regulation 28(1) of the Internal Revenue Regulation 2001 as amended )</w:t>
            </w:r>
          </w:p>
        </w:tc>
      </w:tr>
      <w:tr w:rsidR="008B4DC7" w:rsidRPr="00972A91" w:rsidTr="00583574">
        <w:trPr>
          <w:trHeight w:val="30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="1403" w:hanging="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  Total Tax Payable to GRA: This is the sum of all taxes deducted from the employee’s income and paid to GRA (it is made up of: final tax on bonus + final tax on over time + tax deducted from employment income)</w:t>
            </w:r>
          </w:p>
        </w:tc>
      </w:tr>
      <w:tr w:rsidR="008B4DC7" w:rsidRPr="00972A91" w:rsidTr="00583574">
        <w:trPr>
          <w:trHeight w:val="231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leftChars="637" w:left="1401" w:firstLine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  Severance Pay: this is an amount paid to an employee for the loss of employment as a result of re-organisation , amalgamation etc. (this amount is exempt from tax)</w:t>
            </w:r>
          </w:p>
        </w:tc>
      </w:tr>
      <w:tr w:rsidR="008B4DC7" w:rsidRPr="00972A91" w:rsidTr="00583574">
        <w:trPr>
          <w:trHeight w:val="240"/>
        </w:trPr>
        <w:tc>
          <w:tcPr>
            <w:tcW w:w="14021" w:type="dxa"/>
            <w:shd w:val="clear" w:color="auto" w:fill="auto"/>
            <w:noWrap/>
            <w:vAlign w:val="bottom"/>
            <w:hideMark/>
          </w:tcPr>
          <w:p w:rsidR="008B4DC7" w:rsidRPr="00972A91" w:rsidRDefault="008B4DC7" w:rsidP="00583574">
            <w:pPr>
              <w:spacing w:after="0" w:line="240" w:lineRule="auto"/>
              <w:ind w:right="-648" w:firstLineChars="779" w:firstLine="140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972A9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27.  Remarks: This is any relevant information        </w:t>
            </w:r>
          </w:p>
        </w:tc>
      </w:tr>
    </w:tbl>
    <w:p w:rsidR="00E52F74" w:rsidRPr="00972A91" w:rsidRDefault="00E52F74">
      <w:pPr>
        <w:rPr>
          <w:rFonts w:ascii="Times New Roman" w:hAnsi="Times New Roman" w:cs="Times New Roman"/>
          <w:sz w:val="18"/>
          <w:szCs w:val="18"/>
        </w:rPr>
      </w:pPr>
    </w:p>
    <w:sectPr w:rsidR="00E52F74" w:rsidRPr="00972A91" w:rsidSect="0058357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B4DC7"/>
    <w:rsid w:val="00176BFB"/>
    <w:rsid w:val="00222974"/>
    <w:rsid w:val="0040657B"/>
    <w:rsid w:val="00491C2E"/>
    <w:rsid w:val="004A4BC7"/>
    <w:rsid w:val="00583574"/>
    <w:rsid w:val="005E0D2B"/>
    <w:rsid w:val="006416B4"/>
    <w:rsid w:val="008B4DC7"/>
    <w:rsid w:val="008D02C5"/>
    <w:rsid w:val="00972A91"/>
    <w:rsid w:val="00B57BDE"/>
    <w:rsid w:val="00D401C4"/>
    <w:rsid w:val="00E52F74"/>
    <w:rsid w:val="00F50F46"/>
    <w:rsid w:val="00FF5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F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7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pkwakyi</dc:creator>
  <cp:lastModifiedBy>pkwakyi</cp:lastModifiedBy>
  <cp:revision>2</cp:revision>
  <cp:lastPrinted>2012-11-18T16:01:00Z</cp:lastPrinted>
  <dcterms:created xsi:type="dcterms:W3CDTF">2014-01-08T06:32:00Z</dcterms:created>
  <dcterms:modified xsi:type="dcterms:W3CDTF">2014-01-08T06:32:00Z</dcterms:modified>
</cp:coreProperties>
</file>