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530352" cy="530352"/>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530352" cy="530352"/>
                    </a:xfrm>
                    <a:prstGeom prst="rect"/>
                  </pic:spPr>
                </pic:pic>
              </a:graphicData>
            </a:graphic>
          </wp:inline>
        </w:drawing>
      </w:r>
    </w:p>
    <w:p>
      <w:pPr>
        <w:spacing w:before="0" w:after="20"/>
        <w:jc w:val="center"/>
      </w:pPr>
      <w:r>
        <w:rPr>
          <w:rFonts w:ascii="Calibri" w:hAnsi="Calibri"/>
          <w:b/>
          <w:i w:val="0"/>
          <w:color w:val="062B5C"/>
          <w:sz w:val="44"/>
        </w:rPr>
        <w:t>SYC Courses</w:t>
      </w:r>
    </w:p>
    <w:p>
      <w:pPr>
        <w:spacing w:before="0" w:after="100"/>
        <w:jc w:val="center"/>
      </w:pPr>
      <w:r>
        <w:rPr>
          <w:rFonts w:ascii="Calibri" w:hAnsi="Calibri"/>
          <w:b/>
          <w:i w:val="0"/>
          <w:color w:val="1677B8"/>
          <w:sz w:val="24"/>
        </w:rPr>
        <w:t>Proposal for Committee Consideration</w:t>
      </w:r>
    </w:p>
    <w:p>
      <w:pPr>
        <w:spacing w:before="0" w:after="140"/>
        <w:jc w:val="center"/>
      </w:pPr>
      <w:r>
        <w:rPr>
          <w:rFonts w:ascii="Calibri" w:hAnsi="Calibri"/>
          <w:b w:val="0"/>
          <w:i w:val="0"/>
          <w:color w:val="667085"/>
          <w:sz w:val="17"/>
        </w:rPr>
        <w:t>Prepared by Luke Matthews  |  24 July 2026  |  Non-binding discussion draft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EAF3F8"/>
            <w:vAlign w:val="center"/>
          </w:tcPr>
          <w:p>
            <w:pPr>
              <w:spacing w:before="0" w:after="0"/>
              <w:jc w:val="center"/>
            </w:pPr>
            <w:r>
              <w:rPr>
                <w:rFonts w:ascii="Calibri" w:hAnsi="Calibri"/>
                <w:b/>
                <w:i w:val="0"/>
                <w:color w:val="062B5C"/>
                <w:sz w:val="20"/>
              </w:rPr>
              <w:t xml:space="preserve">Proposal: </w:t>
            </w:r>
            <w:r>
              <w:rPr>
                <w:rFonts w:ascii="Calibri" w:hAnsi="Calibri"/>
                <w:b w:val="0"/>
                <w:i w:val="0"/>
                <w:color w:val="062B5C"/>
                <w:sz w:val="20"/>
              </w:rPr>
              <w:t>I propose that SYC and I negotiate a licence for the SYC-specific applications, with ownership of the software and reusable technology retained by me.</w:t>
            </w:r>
          </w:p>
        </w:tc>
      </w:tr>
    </w:tbl>
    <w:p>
      <w:pPr>
        <w:keepNext/>
        <w:spacing w:before="100" w:after="40"/>
      </w:pPr>
      <w:r>
        <w:rPr>
          <w:rFonts w:ascii="Calibri" w:hAnsi="Calibri"/>
          <w:b/>
          <w:i w:val="0"/>
          <w:color w:val="1677B8"/>
          <w:sz w:val="23"/>
        </w:rPr>
        <w:t>Purpose and value to SYC</w:t>
      </w:r>
    </w:p>
    <w:p>
      <w:pPr>
        <w:spacing w:before="0" w:after="80" w:line="259" w:lineRule="auto"/>
      </w:pPr>
      <w:r>
        <w:rPr>
          <w:rFonts w:ascii="Calibri" w:hAnsi="Calibri"/>
          <w:b w:val="0"/>
          <w:i w:val="0"/>
          <w:color w:val="1F2933"/>
          <w:sz w:val="19"/>
        </w:rPr>
        <w:t>SYC Courses gives members a fast, race-day reference that is available offline and designed for use on the water. As an SYC member, I developed it to improve the member experience and contribute to the club's continued success. The proposal includes a substantial member-supported concession compared with commissioning equivalent software commercially.</w:t>
      </w:r>
    </w:p>
    <w:p>
      <w:pPr>
        <w:keepNext/>
        <w:spacing w:before="100" w:after="40"/>
      </w:pPr>
      <w:r>
        <w:rPr>
          <w:rFonts w:ascii="Calibri" w:hAnsi="Calibri"/>
          <w:b/>
          <w:i w:val="0"/>
          <w:color w:val="1677B8"/>
          <w:sz w:val="23"/>
        </w:rPr>
        <w:t>Current feature set</w:t>
      </w:r>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90" w:type="dxa"/>
              <w:start w:w="120" w:type="dxa"/>
              <w:bottom w:w="90" w:type="dxa"/>
              <w:end w:w="120" w:type="dxa"/>
            </w:tcMar>
            <w:shd w:fill="062B5C"/>
            <w:vAlign w:val="center"/>
          </w:tcPr>
          <w:p>
            <w:pPr>
              <w:spacing w:after="0"/>
            </w:pPr>
            <w:r>
              <w:rPr>
                <w:rFonts w:ascii="Calibri" w:hAnsi="Calibri"/>
                <w:b/>
                <w:i w:val="0"/>
                <w:color w:val="FFFFFF"/>
                <w:sz w:val="17"/>
              </w:rPr>
              <w:t>Feature</w:t>
            </w:r>
          </w:p>
        </w:tc>
        <w:tc>
          <w:tcPr>
            <w:tcW w:type="dxa" w:w="7160"/>
            <w:tcMar>
              <w:top w:w="90" w:type="dxa"/>
              <w:start w:w="120" w:type="dxa"/>
              <w:bottom w:w="90" w:type="dxa"/>
              <w:end w:w="120" w:type="dxa"/>
            </w:tcMar>
            <w:shd w:fill="062B5C"/>
            <w:vAlign w:val="center"/>
          </w:tcPr>
          <w:p>
            <w:pPr>
              <w:spacing w:after="0"/>
            </w:pPr>
            <w:r>
              <w:rPr>
                <w:rFonts w:ascii="Calibri" w:hAnsi="Calibri"/>
                <w:b/>
                <w:i w:val="0"/>
                <w:color w:val="FFFFFF"/>
                <w:sz w:val="17"/>
              </w:rPr>
              <w:t>Included capability</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Course reference</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Fixed-mark courses 1-68 and laid courses 80-98, with sequences, rounding instructions, distances, charts and numeral-pennant lookup.</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Native iPhone app</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A complete offline race-day application with high-contrast presentation, large controls, course lookup and recently viewed courses.</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Native Android app</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A separate, complete Android application sharing the course data and race-day functionality, with additional boat-instrument connectivity.</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Offline web app</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An installable offline-first web application providing broad access to course reference, flags and Quick Bearing functionality.</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GPS navigation</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Quick Bearing with bearing and distance to selected marks, map-based mark selection and active-course mark progression.</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Start and finish</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Countdown/offset controls, line or mark distance and bearing, SOG-based time-to-line, time-to-start and time-to-burn guidance.</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Tracking and sharing</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Race-track recording, recent tracks and GPX export; course routes can also be exported for compatible navigation apps.</w:t>
            </w:r>
          </w:p>
        </w:tc>
      </w:tr>
      <w:tr>
        <w:tc>
          <w:tcPr>
            <w:tcW w:type="dxa" w:w="2200"/>
            <w:vAlign w:val="center"/>
            <w:tcMar>
              <w:top w:w="40" w:type="dxa"/>
              <w:start w:w="120" w:type="dxa"/>
              <w:bottom w:w="40" w:type="dxa"/>
              <w:end w:w="120" w:type="dxa"/>
            </w:tcMar>
            <w:shd w:fill="F3F5F7"/>
          </w:tcPr>
          <w:p>
            <w:pPr>
              <w:spacing w:after="0"/>
            </w:pPr>
            <w:r>
              <w:rPr>
                <w:rFonts w:ascii="Calibri" w:hAnsi="Calibri"/>
                <w:b/>
                <w:i w:val="0"/>
                <w:color w:val="062B5C"/>
                <w:sz w:val="16"/>
              </w:rPr>
              <w:t>Instrument integration</w:t>
            </w:r>
          </w:p>
        </w:tc>
        <w:tc>
          <w:tcPr>
            <w:tcW w:type="dxa" w:w="7160"/>
            <w:vAlign w:val="center"/>
            <w:tcMar>
              <w:top w:w="40" w:type="dxa"/>
              <w:start w:w="120" w:type="dxa"/>
              <w:bottom w:w="40" w:type="dxa"/>
              <w:end w:w="120" w:type="dxa"/>
            </w:tcMar>
          </w:tcPr>
          <w:p>
            <w:pPr>
              <w:spacing w:after="0"/>
            </w:pPr>
            <w:r>
              <w:rPr>
                <w:rFonts w:ascii="Calibri" w:hAnsi="Calibri"/>
                <w:b w:val="0"/>
                <w:i w:val="0"/>
                <w:color w:val="1F2933"/>
                <w:sz w:val="16"/>
              </w:rPr>
              <w:t>On Android, Actisense W2K-2 and YDWG-02 NMEA Wi-Fi gateway support over TCP/UDP uses position, COG, SOG and heading data with optional waypoint output.</w:t>
            </w:r>
          </w:p>
        </w:tc>
      </w:tr>
    </w:tbl>
    <w:p>
      <w:pPr>
        <w:keepNext/>
        <w:spacing w:before="100" w:after="40"/>
      </w:pPr>
      <w:r>
        <w:rPr>
          <w:rFonts w:ascii="Calibri" w:hAnsi="Calibri"/>
          <w:b/>
          <w:i w:val="0"/>
          <w:color w:val="1677B8"/>
          <w:sz w:val="23"/>
        </w:rPr>
        <w:t>Indicative commercial framework</w:t>
      </w:r>
    </w:p>
    <w:p>
      <w:pPr>
        <w:spacing w:before="0" w:after="60" w:line="259" w:lineRule="auto"/>
      </w:pPr>
      <w:r>
        <w:rPr>
          <w:rFonts w:ascii="Calibri" w:hAnsi="Calibri"/>
          <w:b/>
          <w:i w:val="0"/>
          <w:color w:val="062B5C"/>
          <w:sz w:val="19"/>
        </w:rPr>
        <w:t xml:space="preserve">Negotiability: </w:t>
      </w:r>
      <w:r>
        <w:rPr>
          <w:rFonts w:ascii="Calibri" w:hAnsi="Calibri"/>
          <w:b w:val="0"/>
          <w:i w:val="0"/>
          <w:color w:val="1F2933"/>
          <w:sz w:val="19"/>
        </w:rPr>
        <w:t>All terms are open to negotiation. No financial commitment or approval of the figures below is sought at this stage.</w:t>
      </w:r>
    </w:p>
    <w:p>
      <w:pPr>
        <w:spacing w:before="0" w:after="60" w:line="259" w:lineRule="auto"/>
      </w:pPr>
      <w:r>
        <w:rPr>
          <w:rFonts w:ascii="Calibri" w:hAnsi="Calibri"/>
          <w:b/>
          <w:i w:val="0"/>
          <w:color w:val="062B5C"/>
          <w:sz w:val="19"/>
        </w:rPr>
        <w:t xml:space="preserve">Licence: </w:t>
      </w:r>
      <w:r>
        <w:rPr>
          <w:rFonts w:ascii="Calibri" w:hAnsi="Calibri"/>
          <w:b w:val="0"/>
          <w:i w:val="0"/>
          <w:color w:val="1F2933"/>
          <w:sz w:val="19"/>
        </w:rPr>
        <w:t>Non-exclusive and limited to SYC and its members; no transfer or sublicensing to other clubs.</w:t>
      </w:r>
    </w:p>
    <w:p>
      <w:pPr>
        <w:spacing w:before="0" w:after="60" w:line="259" w:lineRule="auto"/>
      </w:pPr>
      <w:r>
        <w:rPr>
          <w:rFonts w:ascii="Calibri" w:hAnsi="Calibri"/>
          <w:b/>
          <w:i w:val="0"/>
          <w:color w:val="062B5C"/>
          <w:sz w:val="19"/>
        </w:rPr>
        <w:t xml:space="preserve">Proposed consideration: </w:t>
      </w:r>
      <w:r>
        <w:rPr>
          <w:rFonts w:ascii="Calibri" w:hAnsi="Calibri"/>
          <w:b w:val="0"/>
          <w:i w:val="0"/>
          <w:color w:val="1F2933"/>
          <w:sz w:val="19"/>
        </w:rPr>
        <w:t>$15,000, with the amount and payment structure open to negotiation. This discounted starting position recognises my connection to SYC, the community benefit of the applications and my desire to support the club's success.</w:t>
      </w:r>
    </w:p>
    <w:p>
      <w:pPr>
        <w:spacing w:before="0" w:after="60" w:line="259" w:lineRule="auto"/>
      </w:pPr>
      <w:r>
        <w:rPr>
          <w:rFonts w:ascii="Calibri" w:hAnsi="Calibri"/>
          <w:b/>
          <w:i w:val="0"/>
          <w:color w:val="062B5C"/>
          <w:sz w:val="19"/>
        </w:rPr>
        <w:t xml:space="preserve">Delivery and support: </w:t>
      </w:r>
      <w:r>
        <w:rPr>
          <w:rFonts w:ascii="Calibri" w:hAnsi="Calibri"/>
          <w:b w:val="0"/>
          <w:i w:val="0"/>
          <w:color w:val="1F2933"/>
          <w:sz w:val="19"/>
        </w:rPr>
        <w:t>App delivered substantially as demonstrated, with a proposed 90-day defect-correction period. Ongoing support, course-data updates, platform compatibility and new development to be agreed and priced separately.</w:t>
      </w:r>
    </w:p>
    <w:p>
      <w:pPr>
        <w:keepNext/>
        <w:spacing w:before="100" w:after="40"/>
      </w:pPr>
      <w:r>
        <w:rPr>
          <w:rFonts w:ascii="Calibri" w:hAnsi="Calibri"/>
          <w:b/>
          <w:i w:val="0"/>
          <w:color w:val="1677B8"/>
          <w:sz w:val="23"/>
        </w:rPr>
        <w:t>Potential matters for further negotiation</w:t>
      </w:r>
    </w:p>
    <w:p>
      <w:pPr>
        <w:spacing w:before="0" w:after="40" w:line="259" w:lineRule="auto"/>
      </w:pPr>
      <w:r>
        <w:rPr>
          <w:rFonts w:ascii="Calibri" w:hAnsi="Calibri"/>
          <w:b/>
          <w:i w:val="0"/>
          <w:color w:val="062B5C"/>
          <w:sz w:val="19"/>
        </w:rPr>
        <w:t xml:space="preserve">Commercial: </w:t>
      </w:r>
      <w:r>
        <w:rPr>
          <w:rFonts w:ascii="Calibri" w:hAnsi="Calibri"/>
          <w:b w:val="0"/>
          <w:i w:val="0"/>
          <w:color w:val="1F2933"/>
          <w:sz w:val="19"/>
        </w:rPr>
        <w:t>licence scope and duration, renewal arrangements, consideration, payment structure and any conditions linked to member access or adoption.</w:t>
      </w:r>
    </w:p>
    <w:p>
      <w:pPr>
        <w:spacing w:before="0" w:after="40" w:line="259" w:lineRule="auto"/>
      </w:pPr>
      <w:r>
        <w:rPr>
          <w:rFonts w:ascii="Calibri" w:hAnsi="Calibri"/>
          <w:b/>
          <w:i w:val="0"/>
          <w:color w:val="062B5C"/>
          <w:sz w:val="19"/>
        </w:rPr>
        <w:t xml:space="preserve">Operational: </w:t>
      </w:r>
      <w:r>
        <w:rPr>
          <w:rFonts w:ascii="Calibri" w:hAnsi="Calibri"/>
          <w:b w:val="0"/>
          <w:i w:val="0"/>
          <w:color w:val="1F2933"/>
          <w:sz w:val="19"/>
        </w:rPr>
        <w:t>App Store/distribution responsibility, promotion to members, course-data approval, privacy, support expectations and future updates.</w:t>
      </w:r>
    </w:p>
    <w:p>
      <w:pPr>
        <w:spacing w:before="0" w:after="60" w:line="259" w:lineRule="auto"/>
      </w:pPr>
      <w:r>
        <w:rPr>
          <w:rFonts w:ascii="Calibri" w:hAnsi="Calibri"/>
          <w:b/>
          <w:i w:val="0"/>
          <w:color w:val="062B5C"/>
          <w:sz w:val="19"/>
        </w:rPr>
        <w:t xml:space="preserve">Legal: </w:t>
      </w:r>
      <w:r>
        <w:rPr>
          <w:rFonts w:ascii="Calibri" w:hAnsi="Calibri"/>
          <w:b w:val="0"/>
          <w:i w:val="0"/>
          <w:color w:val="1F2933"/>
          <w:sz w:val="19"/>
        </w:rPr>
        <w:t>intellectual-property ownership, use of SYC name/content, warranties, liability, termination and a final written licence agreement.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shd w:fill="062B5C"/>
            <w:vAlign w:val="center"/>
          </w:tcPr>
          <w:p>
            <w:pPr>
              <w:spacing w:after="0"/>
              <w:jc w:val="center"/>
            </w:pPr>
            <w:r>
              <w:rPr>
                <w:rFonts w:ascii="Calibri" w:hAnsi="Calibri"/>
                <w:b/>
                <w:i w:val="0"/>
                <w:color w:val="FFFFFF"/>
                <w:sz w:val="19"/>
              </w:rPr>
              <w:t xml:space="preserve">Requested outcome: </w:t>
            </w:r>
            <w:r>
              <w:rPr>
                <w:rFonts w:ascii="Calibri" w:hAnsi="Calibri"/>
                <w:b w:val="0"/>
                <w:i w:val="0"/>
                <w:color w:val="FFFFFF"/>
                <w:sz w:val="19"/>
              </w:rPr>
              <w:t>agreement in principle to continue negotiations with me toward a mutually acceptable commercial arrangement, with any final proposal returning for formal approval.</w:t>
            </w:r>
          </w:p>
        </w:tc>
      </w:tr>
    </w:tbl>
    <w:sectPr w:rsidR="00FC693F" w:rsidRPr="0006063C" w:rsidSect="00034616">
      <w:headerReference w:type="default" r:id="rId9"/>
      <w:footerReference w:type="default" r:id="rId10"/>
      <w:pgSz w:w="12240" w:h="15840"/>
      <w:pgMar w:top="792" w:right="1037" w:bottom="547" w:left="1037" w:header="36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67085"/>
        <w:sz w:val="16"/>
      </w:rPr>
      <w:t>Confidential draft for discussion and negotiation - 24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7085"/>
        <w:sz w:val="16"/>
      </w:rPr>
      <w:t>SYC COURSES  |  COMMITTEE DISCUSSION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SYC Courses - Proposal for Committee Consideration</dc:title>
  <dc:subject>Committee discussion and negotiation proposal</dc:subject>
  <dc:creator>Luke Matthews</dc:creator>
  <cp:keywords>SYC Courses, proposal, licence, committee</cp:keywords>
  <dc:description>generated by python-docx</dc:description>
  <cp:lastModifiedBy/>
  <cp:revision>1</cp:revision>
  <dcterms:created xsi:type="dcterms:W3CDTF">2013-12-23T23:15:00Z</dcterms:created>
  <dcterms:modified xsi:type="dcterms:W3CDTF">2013-12-23T23:15:00Z</dcterms:modified>
  <cp:category/>
</cp:coreProperties>
</file>