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real-world complexity at scale.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 / 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architectural leadership, cross-functional collaboration, commercial acumen</w:t>
      </w:r>
    </w:p>
    <w:p>
      <w:r>
        <w:pict>
          <v:rect style="width:0;height:1.5pt" o:hralign="center" o:hrstd="t" o:hr="t"/>
        </w:pict>
      </w:r>
    </w:p>
    <w:bookmarkEnd w:id="28"/>
    <w:bookmarkStart w:id="37"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2024 - 2025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2023 - 2024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2019 - 2023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2017 - 2018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2012 - 2017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design and delivery of high-performance smart building networks, integrating Cisco, Allied Telesis, and IoT systems.</w:t>
      </w:r>
    </w:p>
    <w:p>
      <w:pPr>
        <w:numPr>
          <w:ilvl w:val="0"/>
          <w:numId w:val="1003"/>
        </w:numPr>
        <w:pStyle w:val="Compact"/>
      </w:pPr>
      <w:r>
        <w:t xml:space="preserve">Produced technical RFIs, BoMs, and submission packages,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 Gold/Platinum.</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100+ offices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proof-of-concept to production, saving 200+ engineering hours annually through automated visibility and source of truth management.</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&amp; primary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r>
      <w:tr>
        <w:tc>
          <w:tcPr/>
          <w:p>
            <w:pPr>
              <w:pStyle w:val="Compact"/>
              <w:jc w:val="left"/>
            </w:pPr>
            <w:hyperlink r:id="rId38">
              <w:r>
                <w:rPr>
                  <w:rStyle w:val="Hyperlink"/>
                </w:rPr>
                <w:t xml:space="preserve">University of London</w:t>
              </w:r>
            </w:hyperlink>
          </w:p>
        </w:tc>
        <w:tc>
          <w:tcPr/>
          <w:p>
            <w:pPr>
              <w:pStyle w:val="Compact"/>
              <w:jc w:val="left"/>
            </w:pPr>
            <w:r>
              <w:t xml:space="preserve">2005 - 2008</w:t>
            </w:r>
          </w:p>
        </w:tc>
        <w:tc>
          <w:tcPr/>
          <w:p>
            <w:pPr>
              <w:pStyle w:val="Compact"/>
              <w:jc w:val="left"/>
            </w:pPr>
            <w:r>
              <w:t xml:space="preserve">BA in Politics, 2:1</w:t>
            </w:r>
          </w:p>
        </w:tc>
      </w:tr>
    </w:tbl>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BlockText"/>
      </w:pPr>
      <w:r>
        <w:t xml:space="preserve">Be Good &amp; be Gone.</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 / 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2025-05-12T17:53:42Z</dcterms:created>
  <dcterms:modified xsi:type="dcterms:W3CDTF">2025-05-12T17:53:42Z</dcterms:modified>
</cp:coreProperties>
</file>

<file path=docProps/custom.xml><?xml version="1.0" encoding="utf-8"?>
<Properties xmlns="http://schemas.openxmlformats.org/officeDocument/2006/custom-properties" xmlns:vt="http://schemas.openxmlformats.org/officeDocument/2006/docPropsVTypes"/>
</file>